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pPr>
      <w:r>
        <w:drawing>
          <wp:inline distT="114300" distB="114300" distL="114300" distR="114300">
            <wp:extent cx="2809875" cy="149479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8"/>
                    <a:srcRect/>
                    <a:stretch>
                      <a:fillRect/>
                    </a:stretch>
                  </pic:blipFill>
                  <pic:spPr>
                    <a:xfrm>
                      <a:off x="0" y="0"/>
                      <a:ext cx="2809875" cy="1495163"/>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tbl>
      <w:tblPr>
        <w:tblStyle w:val="13"/>
        <w:tblW w:w="9029"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Layout w:type="fixed"/>
          <w:tblCellMar>
            <w:top w:w="100" w:type="dxa"/>
            <w:left w:w="100" w:type="dxa"/>
            <w:bottom w:w="100" w:type="dxa"/>
            <w:right w:w="100" w:type="dxa"/>
          </w:tblCellMar>
        </w:tblPrEx>
        <w:trPr>
          <w:jc w:val="center"/>
        </w:trPr>
        <w:tc>
          <w:tcPr>
            <w:tcW w:w="902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Pr>
              <w:t xml:space="preserve">Actividad: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Pr>
              <w:t>La Tribu (Seth Godin)</w:t>
            </w:r>
          </w:p>
        </w:tc>
      </w:tr>
    </w:tbl>
    <w:p>
      <w:pPr/>
    </w:p>
    <w:sdt>
      <w:sdtPr>
        <w:id w:val="0"/>
      </w:sdtPr>
      <w:sdtContent>
        <w:p>
          <w:pPr>
            <w:tabs>
              <w:tab w:val="right" w:pos="9025"/>
            </w:tabs>
            <w:spacing w:before="80" w:line="240" w:lineRule="auto"/>
            <w:ind w:left="0" w:firstLine="0"/>
          </w:pPr>
          <w:r>
            <w:fldChar w:fldCharType="begin"/>
          </w:r>
          <w:r>
            <w:instrText xml:space="preserve"> TOC \h \u \z </w:instrText>
          </w:r>
          <w:r>
            <w:fldChar w:fldCharType="separate"/>
          </w:r>
          <w:r>
            <w:fldChar w:fldCharType="begin"/>
          </w:r>
          <w:r>
            <w:instrText xml:space="preserve"> HYPERLINK \l "_b4q7vmlu8l9a" \h </w:instrText>
          </w:r>
          <w:r>
            <w:fldChar w:fldCharType="separate"/>
          </w:r>
          <w:r>
            <w:rPr>
              <w:b/>
            </w:rPr>
            <w:t>Follow the leader: Seth Godin</w:t>
          </w:r>
          <w:r>
            <w:rPr>
              <w:b/>
            </w:rPr>
            <w:fldChar w:fldCharType="end"/>
          </w:r>
          <w:r>
            <w:rPr>
              <w:b/>
            </w:rPr>
            <w:tab/>
          </w:r>
          <w:r>
            <w:fldChar w:fldCharType="begin"/>
          </w:r>
          <w:r>
            <w:instrText xml:space="preserve"> PAGEREF _b4q7vmlu8l9a \h </w:instrText>
          </w:r>
          <w:r>
            <w:fldChar w:fldCharType="separate"/>
          </w:r>
          <w:r>
            <w:rPr>
              <w:b/>
            </w:rPr>
            <w:t>2</w:t>
          </w:r>
          <w:r>
            <w:fldChar w:fldCharType="end"/>
          </w:r>
        </w:p>
        <w:p>
          <w:pPr>
            <w:tabs>
              <w:tab w:val="right" w:pos="9025"/>
            </w:tabs>
            <w:spacing w:before="200" w:line="240" w:lineRule="auto"/>
            <w:ind w:left="0" w:firstLine="0"/>
          </w:pPr>
          <w:r>
            <w:fldChar w:fldCharType="begin"/>
          </w:r>
          <w:r>
            <w:instrText xml:space="preserve"> HYPERLINK \l "_hjlhwws89s6w" \h </w:instrText>
          </w:r>
          <w:r>
            <w:fldChar w:fldCharType="separate"/>
          </w:r>
          <w:r>
            <w:rPr>
              <w:b/>
            </w:rPr>
            <w:t>De la tribu a la presencia digital</w:t>
          </w:r>
          <w:r>
            <w:rPr>
              <w:b/>
            </w:rPr>
            <w:fldChar w:fldCharType="end"/>
          </w:r>
          <w:r>
            <w:rPr>
              <w:b/>
            </w:rPr>
            <w:tab/>
          </w:r>
          <w:r>
            <w:fldChar w:fldCharType="begin"/>
          </w:r>
          <w:r>
            <w:instrText xml:space="preserve"> PAGEREF _hjlhwws89s6w \h </w:instrText>
          </w:r>
          <w:r>
            <w:fldChar w:fldCharType="separate"/>
          </w:r>
          <w:r>
            <w:rPr>
              <w:b/>
            </w:rPr>
            <w:t>3</w:t>
          </w:r>
          <w:r>
            <w:fldChar w:fldCharType="end"/>
          </w:r>
        </w:p>
        <w:p>
          <w:pPr>
            <w:tabs>
              <w:tab w:val="right" w:pos="9025"/>
            </w:tabs>
            <w:spacing w:before="200" w:line="240" w:lineRule="auto"/>
            <w:ind w:left="0" w:firstLine="0"/>
          </w:pPr>
          <w:r>
            <w:fldChar w:fldCharType="begin"/>
          </w:r>
          <w:r>
            <w:instrText xml:space="preserve"> HYPERLINK \l "_yndw4mnz1e9f" \h </w:instrText>
          </w:r>
          <w:r>
            <w:fldChar w:fldCharType="separate"/>
          </w:r>
          <w:r>
            <w:rPr>
              <w:b/>
            </w:rPr>
            <w:t>¿A qué se dedican las tribus?</w:t>
          </w:r>
          <w:r>
            <w:rPr>
              <w:b/>
            </w:rPr>
            <w:fldChar w:fldCharType="end"/>
          </w:r>
          <w:r>
            <w:rPr>
              <w:b/>
            </w:rPr>
            <w:tab/>
          </w:r>
          <w:r>
            <w:fldChar w:fldCharType="begin"/>
          </w:r>
          <w:r>
            <w:instrText xml:space="preserve"> PAGEREF _yndw4mnz1e9f \h </w:instrText>
          </w:r>
          <w:r>
            <w:fldChar w:fldCharType="separate"/>
          </w:r>
          <w:r>
            <w:rPr>
              <w:b/>
            </w:rPr>
            <w:t>4</w:t>
          </w:r>
          <w:r>
            <w:fldChar w:fldCharType="end"/>
          </w:r>
        </w:p>
        <w:p>
          <w:pPr>
            <w:tabs>
              <w:tab w:val="right" w:pos="9025"/>
            </w:tabs>
            <w:spacing w:before="200" w:after="80" w:line="240" w:lineRule="auto"/>
            <w:ind w:left="0" w:firstLine="0"/>
          </w:pPr>
          <w:r>
            <w:fldChar w:fldCharType="begin"/>
          </w:r>
          <w:r>
            <w:instrText xml:space="preserve"> HYPERLINK \l "_m355bia1z68a" \h </w:instrText>
          </w:r>
          <w:r>
            <w:fldChar w:fldCharType="separate"/>
          </w:r>
          <w:r>
            <w:rPr>
              <w:b/>
            </w:rPr>
            <w:t>La tribu..., mi tribu...</w:t>
          </w:r>
          <w:r>
            <w:rPr>
              <w:b/>
            </w:rPr>
            <w:fldChar w:fldCharType="end"/>
          </w:r>
          <w:r>
            <w:rPr>
              <w:b/>
            </w:rPr>
            <w:tab/>
          </w:r>
          <w:r>
            <w:fldChar w:fldCharType="begin"/>
          </w:r>
          <w:r>
            <w:instrText xml:space="preserve"> PAGEREF _m355bia1z68a \h </w:instrText>
          </w:r>
          <w:r>
            <w:fldChar w:fldCharType="separate"/>
          </w:r>
          <w:r>
            <w:rPr>
              <w:b/>
            </w:rPr>
            <w:t>7</w:t>
          </w:r>
          <w:r>
            <w:fldChar w:fldCharType="end"/>
          </w:r>
          <w:r>
            <w:fldChar w:fldCharType="end"/>
          </w:r>
        </w:p>
      </w:sdtContent>
    </w:sdt>
    <w:p>
      <w:pPr/>
    </w:p>
    <w:p>
      <w:pPr/>
    </w:p>
    <w:p>
      <w:pPr/>
    </w:p>
    <w:p>
      <w:pPr/>
    </w:p>
    <w:p>
      <w:pPr/>
    </w:p>
    <w:p>
      <w:pPr/>
    </w:p>
    <w:p>
      <w:pPr/>
    </w:p>
    <w:p>
      <w:pPr/>
    </w:p>
    <w:p>
      <w:pPr/>
    </w:p>
    <w:p>
      <w:pPr/>
    </w:p>
    <w:p>
      <w:pPr>
        <w:spacing w:line="240" w:lineRule="auto"/>
      </w:pPr>
    </w:p>
    <w:tbl>
      <w:tblPr>
        <w:tblStyle w:val="14"/>
        <w:tblW w:w="9000" w:type="dxa"/>
        <w:tblInd w:w="0" w:type="dxa"/>
        <w:tblLayout w:type="fixed"/>
        <w:tblCellMar>
          <w:top w:w="100" w:type="dxa"/>
          <w:left w:w="100" w:type="dxa"/>
          <w:bottom w:w="100" w:type="dxa"/>
          <w:right w:w="100" w:type="dxa"/>
        </w:tblCellMar>
      </w:tblPr>
      <w:tblGrid>
        <w:gridCol w:w="4485"/>
        <w:gridCol w:w="4515"/>
      </w:tblGrid>
      <w:tr>
        <w:tblPrEx>
          <w:tblLayout w:type="fixed"/>
          <w:tblCellMar>
            <w:top w:w="100" w:type="dxa"/>
            <w:left w:w="100" w:type="dxa"/>
            <w:bottom w:w="100" w:type="dxa"/>
            <w:right w:w="100" w:type="dxa"/>
          </w:tblCellMar>
        </w:tblPrEx>
        <w:trPr>
          <w:trHeight w:val="2220" w:hRule="atLeast"/>
        </w:trPr>
        <w:tc>
          <w:tcPr>
            <w:tcW w:w="4485" w:type="dxa"/>
            <w:shd w:val="clear" w:color="auto" w:fill="auto"/>
            <w:tcMar>
              <w:top w:w="100" w:type="dxa"/>
              <w:left w:w="100" w:type="dxa"/>
              <w:bottom w:w="100" w:type="dxa"/>
              <w:right w:w="100" w:type="dxa"/>
            </w:tcMar>
            <w:vAlign w:val="top"/>
          </w:tcPr>
          <w:p>
            <w:pPr>
              <w:spacing w:line="240" w:lineRule="auto"/>
            </w:pPr>
          </w:p>
        </w:tc>
        <w:tc>
          <w:tcPr>
            <w:tcW w:w="4515" w:type="dxa"/>
            <w:shd w:val="clear" w:color="auto" w:fill="auto"/>
            <w:tcMar>
              <w:top w:w="100" w:type="dxa"/>
              <w:left w:w="100" w:type="dxa"/>
              <w:bottom w:w="100" w:type="dxa"/>
              <w:right w:w="100" w:type="dxa"/>
            </w:tcMar>
            <w:vAlign w:val="top"/>
          </w:tcPr>
          <w:p>
            <w:pPr>
              <w:spacing w:line="240" w:lineRule="auto"/>
            </w:pPr>
          </w:p>
          <w:p>
            <w:pPr>
              <w:spacing w:line="240" w:lineRule="auto"/>
              <w:jc w:val="right"/>
            </w:pPr>
          </w:p>
        </w:tc>
      </w:tr>
    </w:tbl>
    <w:p>
      <w:pPr>
        <w:pStyle w:val="2"/>
        <w:numPr>
          <w:ilvl w:val="0"/>
          <w:numId w:val="1"/>
        </w:numPr>
        <w:ind w:left="720" w:hanging="360"/>
        <w:jc w:val="left"/>
      </w:pPr>
      <w:bookmarkStart w:id="0" w:name="_b4q7vmlu8l9a" w:colFirst="0" w:colLast="0"/>
      <w:bookmarkEnd w:id="0"/>
      <w:r>
        <w:t>Follow the leader: Seth Godin</w:t>
      </w:r>
    </w:p>
    <w:p>
      <w:pPr/>
      <w:r>
        <w:t>En el apartado anterior hemos visto cómo , a la que queremos llegar (a ser posible alcanzando el 100% de la red) se le llama tribu, y toda tribu necesita ser liderada.</w:t>
      </w:r>
    </w:p>
    <w:p>
      <w:pPr/>
      <w:r>
        <w:t>Para entender mejor el concepto de tribu, visualizar el vídeo “The tribes we lead” de Seth Godin (</w:t>
      </w:r>
      <w:r>
        <w:fldChar w:fldCharType="begin"/>
      </w:r>
      <w:r>
        <w:instrText xml:space="preserve"> HYPERLINK "http://www.sethgodin.com" \h </w:instrText>
      </w:r>
      <w:r>
        <w:fldChar w:fldCharType="separate"/>
      </w:r>
      <w:r>
        <w:rPr>
          <w:color w:val="1155CC"/>
          <w:u w:val="single"/>
        </w:rPr>
        <w:t>www.sethgodin.com</w:t>
      </w:r>
      <w:r>
        <w:rPr>
          <w:color w:val="1155CC"/>
          <w:u w:val="single"/>
        </w:rPr>
        <w:fldChar w:fldCharType="end"/>
      </w:r>
      <w:r>
        <w:t>), Puedes localizar el vídeo en TED (</w:t>
      </w:r>
      <w:r>
        <w:fldChar w:fldCharType="begin"/>
      </w:r>
      <w:r>
        <w:instrText xml:space="preserve"> HYPERLINK "http://www.ted.com" \h </w:instrText>
      </w:r>
      <w:r>
        <w:fldChar w:fldCharType="separate"/>
      </w:r>
      <w:r>
        <w:rPr>
          <w:color w:val="1155CC"/>
          <w:u w:val="single"/>
        </w:rPr>
        <w:t>www.ted.com</w:t>
      </w:r>
      <w:r>
        <w:rPr>
          <w:color w:val="1155CC"/>
          <w:u w:val="single"/>
        </w:rPr>
        <w:fldChar w:fldCharType="end"/>
      </w:r>
      <w:r>
        <w:t xml:space="preserve">) o en este enlace: </w:t>
      </w:r>
      <w:r>
        <w:fldChar w:fldCharType="begin"/>
      </w:r>
      <w:r>
        <w:instrText xml:space="preserve"> HYPERLINK "https://www.ted.com/talks/seth_godin_on_the_tribes_we_lead" \h </w:instrText>
      </w:r>
      <w:r>
        <w:fldChar w:fldCharType="separate"/>
      </w:r>
      <w:r>
        <w:rPr>
          <w:color w:val="1155CC"/>
          <w:u w:val="single"/>
        </w:rPr>
        <w:t>https://www.ted.com/talks/seth_godin_on_the_tribes_we_lead</w:t>
      </w:r>
      <w:r>
        <w:rPr>
          <w:color w:val="1155CC"/>
          <w:u w:val="single"/>
        </w:rPr>
        <w:fldChar w:fldCharType="end"/>
      </w:r>
      <w:r>
        <w:t xml:space="preserve"> (se pueden escoger los subtítulos en el idioma en que te sientas mejor)</w:t>
      </w:r>
    </w:p>
    <w:p>
      <w:pPr/>
    </w:p>
    <w:p>
      <w:pPr/>
      <w:r>
        <w:drawing>
          <wp:inline distT="114300" distB="114300" distL="114300" distR="114300">
            <wp:extent cx="5734050" cy="4013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2" name="image15.png"/>
                    <pic:cNvPicPr preferRelativeResize="0"/>
                  </pic:nvPicPr>
                  <pic:blipFill>
                    <a:blip r:embed="rId9"/>
                    <a:srcRect/>
                    <a:stretch>
                      <a:fillRect/>
                    </a:stretch>
                  </pic:blipFill>
                  <pic:spPr>
                    <a:xfrm>
                      <a:off x="0" y="0"/>
                      <a:ext cx="5734050" cy="4013200"/>
                    </a:xfrm>
                    <a:prstGeom prst="rect">
                      <a:avLst/>
                    </a:prstGeom>
                  </pic:spPr>
                </pic:pic>
              </a:graphicData>
            </a:graphic>
          </wp:inline>
        </w:drawing>
      </w:r>
    </w:p>
    <w:p>
      <w:pPr/>
    </w:p>
    <w:p>
      <w:pPr>
        <w:numPr>
          <w:ilvl w:val="0"/>
          <w:numId w:val="2"/>
        </w:numPr>
        <w:ind w:left="255" w:hanging="285"/>
        <w:rPr>
          <w:rFonts w:ascii="Arial" w:hAnsi="Arial" w:eastAsia="Arial" w:cs="Arial"/>
          <w:color w:val="0000FF"/>
          <w:sz w:val="22"/>
          <w:szCs w:val="22"/>
        </w:rPr>
      </w:pPr>
      <w:r>
        <w:rPr>
          <w:color w:val="0000FF"/>
        </w:rPr>
        <w:t>Anota en el siguiente recuadro aquellas frases del vídeo de Seth Godin que justifican porqué debemos buscar una tribu a la que liderar.</w:t>
      </w:r>
    </w:p>
    <w:tbl>
      <w:tblPr>
        <w:tblStyle w:val="15"/>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3640" w:hRule="atLeast"/>
        </w:trPr>
        <w:tc>
          <w:tcPr>
            <w:tcW w:w="9029"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rPr>
            </w:pPr>
            <w:r>
              <w:rPr>
                <w:rFonts w:hint="eastAsia"/>
              </w:rPr>
              <w:t>Seth Godin sostiene que Internet ha terminado con el marketing masivo y revivió una unidad social humana del pasado distante: las tribus. Fundadas sobre ideas y valores compartidos, las tribus dan a la gente común el poder de liderar y hacer grandes cambios. Nos insta a que lo hagamos.</w:t>
            </w:r>
          </w:p>
          <w:p>
            <w:pPr>
              <w:widowControl w:val="0"/>
              <w:spacing w:line="240" w:lineRule="auto"/>
              <w:jc w:val="left"/>
              <w:rPr>
                <w:rFonts w:hint="eastAsia"/>
              </w:rPr>
            </w:pPr>
            <w:r>
              <w:rPr>
                <w:rFonts w:hint="eastAsia"/>
                <w:lang w:eastAsia="zh-CN"/>
              </w:rPr>
              <w:t>A</w:t>
            </w:r>
            <w:r>
              <w:rPr>
                <w:rFonts w:hint="eastAsia"/>
              </w:rPr>
              <w:t xml:space="preserve">hora estamos en este nuevo modelo de liderazgo,  donde la forma en que hacemos el cambio  no es usando dinero  o poder para impulsar un sistema,  sino liderando. </w:t>
            </w:r>
          </w:p>
          <w:p>
            <w:pPr>
              <w:widowControl w:val="0"/>
              <w:spacing w:line="240" w:lineRule="auto"/>
              <w:jc w:val="left"/>
              <w:rPr>
                <w:rFonts w:hint="eastAsia"/>
              </w:rPr>
            </w:pPr>
            <w:r>
              <w:rPr>
                <w:rFonts w:hint="eastAsia"/>
              </w:rPr>
              <w:t xml:space="preserve">Y resulta que son las tribus,  no el dinero, ni las fábricas, las  que pueden cambiar nuestro mundo, las que pueden cambiar la política, las  que pueden alinear a un gran número de personas.  No porque los obligues a hacer algo en contra de su voluntad,  sino porque querían conectarse. </w:t>
            </w:r>
          </w:p>
          <w:p>
            <w:pPr>
              <w:widowControl w:val="0"/>
              <w:spacing w:line="240" w:lineRule="auto"/>
              <w:jc w:val="left"/>
              <w:rPr>
                <w:rFonts w:hint="eastAsia"/>
              </w:rPr>
            </w:pPr>
            <w:r>
              <w:rPr>
                <w:rFonts w:hint="eastAsia"/>
              </w:rPr>
              <w:t xml:space="preserve">Lo primero es que desafían el status quo. Desafían lo que hay actualmente. Lo segundo es que construyen una cultura. Un lenguaje secreto, un apretón de manos de siete segundos, una forma de saber si estás dentro o fuera. Tienen curiosidad. Curiosidad por la gente de la tribu, curiosidad por los forasteros. Están haciendo preguntas. </w:t>
            </w:r>
          </w:p>
        </w:tc>
      </w:tr>
    </w:tbl>
    <w:p>
      <w:pPr/>
    </w:p>
    <w:p>
      <w:pPr>
        <w:pStyle w:val="2"/>
        <w:numPr>
          <w:ilvl w:val="0"/>
          <w:numId w:val="1"/>
        </w:numPr>
        <w:ind w:left="720" w:hanging="360"/>
        <w:rPr>
          <w:u w:val="none"/>
        </w:rPr>
      </w:pPr>
      <w:bookmarkStart w:id="1" w:name="_hjlhwws89s6w" w:colFirst="0" w:colLast="0"/>
      <w:bookmarkEnd w:id="1"/>
      <w:r>
        <w:t>De la tribu a la presencia digital</w:t>
      </w:r>
    </w:p>
    <w:p>
      <w:pPr/>
      <w:r>
        <w:t>Si se desea tener una presencia digital es importante tener en cuenta que la presencia se logra dentro de un colectivo. Ese colectivo puede verse como un conjunto de personas que tienen cierta relación con nosotros, pero no tanta entre ellos. En este caso se trata de seguidores que no están conectados entre ellos. La diversidad de perfiles, y posiblemente de objetivos, entre quienes nos siguen puede ser muy grande. Consecuentemente, los puntos en común entre nuestros seguidores no serán una de sus características principales.</w:t>
      </w:r>
    </w:p>
    <w:tbl>
      <w:tblPr>
        <w:tblStyle w:val="16"/>
        <w:tblW w:w="9029" w:type="dxa"/>
        <w:tblInd w:w="0" w:type="dxa"/>
        <w:tblLayout w:type="fixed"/>
        <w:tblCellMar>
          <w:top w:w="100" w:type="dxa"/>
          <w:left w:w="100" w:type="dxa"/>
          <w:bottom w:w="100" w:type="dxa"/>
          <w:right w:w="100" w:type="dxa"/>
        </w:tblCellMar>
      </w:tblPr>
      <w:tblGrid>
        <w:gridCol w:w="3019"/>
        <w:gridCol w:w="3005"/>
        <w:gridCol w:w="3005"/>
      </w:tblGrid>
      <w:tr>
        <w:tblPrEx>
          <w:tblLayout w:type="fixed"/>
          <w:tblCellMar>
            <w:top w:w="100" w:type="dxa"/>
            <w:left w:w="100" w:type="dxa"/>
            <w:bottom w:w="100" w:type="dxa"/>
            <w:right w:w="100" w:type="dxa"/>
          </w:tblCellMar>
        </w:tblPrEx>
        <w:tc>
          <w:tcPr>
            <w:tcW w:w="3019" w:type="dxa"/>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05585" cy="131889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1" name="image8.jpg"/>
                          <pic:cNvPicPr preferRelativeResize="0"/>
                        </pic:nvPicPr>
                        <pic:blipFill>
                          <a:blip r:embed="rId10"/>
                          <a:srcRect/>
                          <a:stretch>
                            <a:fillRect/>
                          </a:stretch>
                        </pic:blipFill>
                        <pic:spPr>
                          <a:xfrm>
                            <a:off x="0" y="0"/>
                            <a:ext cx="1506101" cy="1319213"/>
                          </a:xfrm>
                          <a:prstGeom prst="rect">
                            <a:avLst/>
                          </a:prstGeom>
                        </pic:spPr>
                      </pic:pic>
                    </a:graphicData>
                  </a:graphic>
                </wp:inline>
              </w:drawing>
            </w:r>
          </w:p>
          <w:p>
            <w:pPr>
              <w:jc w:val="center"/>
            </w:pPr>
            <w:r>
              <w:rPr>
                <w:i/>
                <w:sz w:val="20"/>
                <w:szCs w:val="20"/>
              </w:rPr>
              <w:t>Si enviamos mensajes distintos a distintos perfiles, es difícil que tengamos una presencia digital coherente.</w:t>
            </w:r>
          </w:p>
        </w:tc>
        <w:tc>
          <w:tcPr>
            <w:tcW w:w="3005" w:type="dxa"/>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661795" cy="129032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9" name="image5.jpg"/>
                          <pic:cNvPicPr preferRelativeResize="0"/>
                        </pic:nvPicPr>
                        <pic:blipFill>
                          <a:blip r:embed="rId11"/>
                          <a:srcRect/>
                          <a:stretch>
                            <a:fillRect/>
                          </a:stretch>
                        </pic:blipFill>
                        <pic:spPr>
                          <a:xfrm>
                            <a:off x="0" y="0"/>
                            <a:ext cx="1662341" cy="1290638"/>
                          </a:xfrm>
                          <a:prstGeom prst="rect">
                            <a:avLst/>
                          </a:prstGeom>
                        </pic:spPr>
                      </pic:pic>
                    </a:graphicData>
                  </a:graphic>
                </wp:inline>
              </w:drawing>
            </w:r>
          </w:p>
          <w:p>
            <w:pPr>
              <w:jc w:val="center"/>
            </w:pPr>
            <w:r>
              <w:rPr>
                <w:i/>
                <w:sz w:val="20"/>
                <w:szCs w:val="20"/>
              </w:rPr>
              <w:t>Al enviar mensajes a la misma audiencia, es posible llegar a más personas.</w:t>
            </w:r>
          </w:p>
        </w:tc>
        <w:tc>
          <w:tcPr>
            <w:tcW w:w="3005" w:type="dxa"/>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43050" cy="126174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7" name="image7.jpg"/>
                          <pic:cNvPicPr preferRelativeResize="0"/>
                        </pic:nvPicPr>
                        <pic:blipFill>
                          <a:blip r:embed="rId12"/>
                          <a:srcRect/>
                          <a:stretch>
                            <a:fillRect/>
                          </a:stretch>
                        </pic:blipFill>
                        <pic:spPr>
                          <a:xfrm>
                            <a:off x="0" y="0"/>
                            <a:ext cx="1543680" cy="1262063"/>
                          </a:xfrm>
                          <a:prstGeom prst="rect">
                            <a:avLst/>
                          </a:prstGeom>
                        </pic:spPr>
                      </pic:pic>
                    </a:graphicData>
                  </a:graphic>
                </wp:inline>
              </w:drawing>
            </w:r>
          </w:p>
          <w:p>
            <w:pPr>
              <w:jc w:val="center"/>
              <w:rPr>
                <w:i/>
                <w:sz w:val="20"/>
                <w:szCs w:val="20"/>
              </w:rPr>
            </w:pPr>
            <w:r>
              <w:rPr>
                <w:i/>
                <w:sz w:val="20"/>
                <w:szCs w:val="20"/>
              </w:rPr>
              <w:t>Si la red está conectada, es muy probable que entre las personas difundan nuestros mensajes con más facilidad.</w:t>
            </w:r>
          </w:p>
        </w:tc>
      </w:tr>
    </w:tbl>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both"/>
      </w:pPr>
      <w:r>
        <w:t>Sin embargo, si nuestros seguidores tienen muchos puntos en común, especialmente objetivos similares, pueden formar una red cohesionada. Cuando  se envía un mensaje de interés para la red, aunque ésta sea menor, el mensaje llegará a más personas.</w:t>
      </w:r>
    </w:p>
    <w:p>
      <w:pPr/>
    </w:p>
    <w:p>
      <w:pPr>
        <w:jc w:val="center"/>
      </w:pPr>
      <w:r>
        <w:drawing>
          <wp:inline distT="114300" distB="114300" distL="114300" distR="114300">
            <wp:extent cx="2814320" cy="16192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6" name="image14.png"/>
                    <pic:cNvPicPr preferRelativeResize="0"/>
                  </pic:nvPicPr>
                  <pic:blipFill>
                    <a:blip r:embed="rId13"/>
                    <a:srcRect/>
                    <a:stretch>
                      <a:fillRect/>
                    </a:stretch>
                  </pic:blipFill>
                  <pic:spPr>
                    <a:xfrm>
                      <a:off x="0" y="0"/>
                      <a:ext cx="2814638" cy="1619264"/>
                    </a:xfrm>
                    <a:prstGeom prst="rect">
                      <a:avLst/>
                    </a:prstGeom>
                  </pic:spPr>
                </pic:pic>
              </a:graphicData>
            </a:graphic>
          </wp:inline>
        </w:drawing>
      </w:r>
    </w:p>
    <w:p>
      <w:pPr>
        <w:jc w:val="center"/>
        <w:rPr>
          <w:i/>
          <w:sz w:val="20"/>
          <w:szCs w:val="20"/>
        </w:rPr>
      </w:pPr>
      <w:r>
        <w:rPr>
          <w:i/>
          <w:sz w:val="20"/>
          <w:szCs w:val="20"/>
        </w:rPr>
        <w:t>Los Minions (traducido: súbditos, adláteres, ...) son un ejemplo de tribu que necesita un líder.</w:t>
      </w:r>
    </w:p>
    <w:p>
      <w:pPr/>
    </w:p>
    <w:p>
      <w:pPr>
        <w:numPr>
          <w:ilvl w:val="0"/>
          <w:numId w:val="2"/>
        </w:numPr>
        <w:ind w:left="255" w:hanging="285"/>
        <w:rPr>
          <w:color w:val="0000FF"/>
        </w:rPr>
      </w:pPr>
      <w:r>
        <w:rPr>
          <w:color w:val="0000FF"/>
        </w:rPr>
        <w:t>Determinar algunas de las posibles tribus que se podrían alcanzar (partir de aficiones que tengas, de productos que consumas habitualmente, etc.</w:t>
      </w:r>
    </w:p>
    <w:tbl>
      <w:tblPr>
        <w:tblStyle w:val="17"/>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2840" w:hRule="atLeast"/>
        </w:trPr>
        <w:tc>
          <w:tcPr>
            <w:tcW w:w="9029"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eastAsia="宋体"/>
                <w:lang w:val="en-US" w:eastAsia="zh-CN"/>
              </w:rPr>
            </w:pPr>
            <w:r>
              <w:rPr>
                <w:rFonts w:hint="eastAsia" w:eastAsia="宋体"/>
                <w:lang w:val="en-US" w:eastAsia="zh-CN"/>
              </w:rPr>
              <w:t>Clubu de baile callejero---BOOM BOT(Corea del Sur)</w:t>
            </w:r>
          </w:p>
          <w:p>
            <w:pPr>
              <w:widowControl w:val="0"/>
              <w:spacing w:line="240" w:lineRule="auto"/>
              <w:jc w:val="left"/>
              <w:rPr>
                <w:rFonts w:hint="eastAsia" w:eastAsia="宋体"/>
                <w:lang w:val="en-US" w:eastAsia="zh-CN"/>
              </w:rPr>
            </w:pPr>
            <w:r>
              <w:rPr>
                <w:rFonts w:hint="eastAsia" w:eastAsia="宋体"/>
                <w:lang w:val="en-US" w:eastAsia="zh-CN"/>
              </w:rPr>
              <w:t>Association for the Proteccion of Children from Sexual Assauit.</w:t>
            </w:r>
          </w:p>
        </w:tc>
      </w:tr>
    </w:tbl>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2" w:name="_yndw4mnz1e9f" w:colFirst="0" w:colLast="0"/>
      <w:bookmarkEnd w:id="2"/>
      <w:r>
        <w:t>¿A qué se dedican las tribus?</w:t>
      </w:r>
    </w:p>
    <w:p>
      <w:pPr/>
      <w:r>
        <w:t>Una vez conscientes de lo importante que es focalizar a la misma “tribu” y de lo importante que es conectar a los componentes de dicha tribu, debemos definir qué es lo que vamos a transmitir para liderar a dicha tribu. Si queremos liderar una tribu, debemos conocer tres aspectos de nuestra tribu: Misión, visión y (sobretodo) valores. En general se puede considerar que:</w:t>
      </w:r>
    </w:p>
    <w:p>
      <w:pPr>
        <w:numPr>
          <w:ilvl w:val="0"/>
          <w:numId w:val="3"/>
        </w:numPr>
        <w:ind w:left="720" w:hanging="360"/>
        <w:rPr>
          <w:u w:val="none"/>
        </w:rPr>
      </w:pPr>
      <w:r>
        <w:t>La misión es la razón de ser de una empresa, de una organización, de tu tribu. ¿Qué hace la tribu?¿para quien lo hace?.</w:t>
      </w:r>
    </w:p>
    <w:p>
      <w:pPr>
        <w:numPr>
          <w:ilvl w:val="0"/>
          <w:numId w:val="3"/>
        </w:numPr>
        <w:ind w:left="720" w:hanging="360"/>
        <w:rPr>
          <w:u w:val="none"/>
        </w:rPr>
      </w:pPr>
      <w:r>
        <w:t>La visión es la situación en la que una empresa, una organización, tu tribu quiere estar en un futuro (medio o largo plazo). ¿Dónde queremos que esté la tribu en el futuro?¿Cuándo queremos que ocurran las cosas a la tribu?</w:t>
      </w:r>
    </w:p>
    <w:p>
      <w:pPr>
        <w:numPr>
          <w:ilvl w:val="0"/>
          <w:numId w:val="3"/>
        </w:numPr>
        <w:ind w:left="720" w:hanging="360"/>
        <w:rPr>
          <w:u w:val="none"/>
        </w:rPr>
      </w:pPr>
      <w:r>
        <w:t>Los valores son los principios éticos por los que una empresa, una organización, tu tribu va a regirse en la toma de decisiones para llevar a la tribu al punto deseado. ¿Cómo vamos a llegar al punto que la visión nos marca?</w:t>
      </w:r>
    </w:p>
    <w:p>
      <w:pPr/>
    </w:p>
    <w:p>
      <w:pPr>
        <w:jc w:val="center"/>
      </w:pPr>
      <w:r>
        <w:drawing>
          <wp:inline distT="114300" distB="114300" distL="114300" distR="114300">
            <wp:extent cx="3371850" cy="113919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10" name="image9.jpg"/>
                    <pic:cNvPicPr preferRelativeResize="0"/>
                  </pic:nvPicPr>
                  <pic:blipFill>
                    <a:blip r:embed="rId14"/>
                    <a:srcRect/>
                    <a:stretch>
                      <a:fillRect/>
                    </a:stretch>
                  </pic:blipFill>
                  <pic:spPr>
                    <a:xfrm>
                      <a:off x="0" y="0"/>
                      <a:ext cx="3371850" cy="1139242"/>
                    </a:xfrm>
                    <a:prstGeom prst="rect">
                      <a:avLst/>
                    </a:prstGeom>
                  </pic:spPr>
                </pic:pic>
              </a:graphicData>
            </a:graphic>
          </wp:inline>
        </w:drawing>
      </w:r>
    </w:p>
    <w:p>
      <w:pPr>
        <w:jc w:val="center"/>
        <w:rPr>
          <w:i/>
          <w:sz w:val="20"/>
          <w:szCs w:val="20"/>
        </w:rPr>
      </w:pPr>
      <w:r>
        <w:rPr>
          <w:i/>
          <w:sz w:val="20"/>
          <w:szCs w:val="20"/>
        </w:rPr>
        <w:t xml:space="preserve">Una tribu debe conocer qué hace y con quien lo hace (misión), a dónde debe ir y cuándo debe estar allí (visión) y cómo va </w:t>
      </w:r>
    </w:p>
    <w:p>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Pr>
        <w:t>Para conocer mejor estos conceptos, es bueno comprobar cómo las empresas o las organizaciones muestran su misión, su visión y sus valores. Revisaremos los de las siguientes empresas y organizaciones, y los analizaremos.</w:t>
      </w:r>
    </w:p>
    <w:tbl>
      <w:tblPr>
        <w:tblStyle w:val="18"/>
        <w:tblW w:w="9027" w:type="dxa"/>
        <w:tblInd w:w="0" w:type="dxa"/>
        <w:tblLayout w:type="fixed"/>
        <w:tblCellMar>
          <w:top w:w="100" w:type="dxa"/>
          <w:left w:w="100" w:type="dxa"/>
          <w:bottom w:w="100" w:type="dxa"/>
          <w:right w:w="100" w:type="dxa"/>
        </w:tblCellMar>
      </w:tblPr>
      <w:tblGrid>
        <w:gridCol w:w="3009"/>
        <w:gridCol w:w="3009"/>
        <w:gridCol w:w="3009"/>
      </w:tblGrid>
      <w:tr>
        <w:tblPrEx>
          <w:tblLayout w:type="fixed"/>
          <w:tblCellMar>
            <w:top w:w="100" w:type="dxa"/>
            <w:left w:w="100" w:type="dxa"/>
            <w:bottom w:w="100" w:type="dxa"/>
            <w:right w:w="100" w:type="dxa"/>
          </w:tblCellMar>
        </w:tblPrEx>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"https://www.cocacolaespana.es/informacion/vision-mision-valores" \h </w:instrText>
            </w:r>
            <w:r>
              <w:fldChar w:fldCharType="separate"/>
            </w:r>
            <w:r>
              <w:rPr>
                <w:color w:val="1155CC"/>
                <w:u w:val="single"/>
              </w:rPr>
              <w:drawing>
                <wp:inline distT="114300" distB="114300" distL="114300" distR="114300">
                  <wp:extent cx="890270" cy="9893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13" name="image1.png"/>
                          <pic:cNvPicPr preferRelativeResize="0"/>
                        </pic:nvPicPr>
                        <pic:blipFill>
                          <a:blip r:embed="rId15"/>
                          <a:srcRect/>
                          <a:stretch>
                            <a:fillRect/>
                          </a:stretch>
                        </pic:blipFill>
                        <pic:spPr>
                          <a:xfrm>
                            <a:off x="0" y="0"/>
                            <a:ext cx="890588" cy="989542"/>
                          </a:xfrm>
                          <a:prstGeom prst="rect">
                            <a:avLst/>
                          </a:prstGeom>
                        </pic:spPr>
                      </pic:pic>
                    </a:graphicData>
                  </a:graphic>
                </wp:inline>
              </w:drawing>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"https://www.nestle.com.ve/aboutus/vision" \h </w:instrText>
            </w:r>
            <w:r>
              <w:fldChar w:fldCharType="separate"/>
            </w:r>
            <w:r>
              <w:rPr>
                <w:color w:val="1155CC"/>
                <w:u w:val="single"/>
              </w:rPr>
              <w:drawing>
                <wp:inline distT="114300" distB="114300" distL="114300" distR="114300">
                  <wp:extent cx="1123950" cy="10160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15" name="image12.png"/>
                          <pic:cNvPicPr preferRelativeResize="0"/>
                        </pic:nvPicPr>
                        <pic:blipFill>
                          <a:blip r:embed="rId16"/>
                          <a:srcRect/>
                          <a:stretch>
                            <a:fillRect/>
                          </a:stretch>
                        </pic:blipFill>
                        <pic:spPr>
                          <a:xfrm>
                            <a:off x="0" y="0"/>
                            <a:ext cx="1123950" cy="1016566"/>
                          </a:xfrm>
                          <a:prstGeom prst="rect">
                            <a:avLst/>
                          </a:prstGeom>
                        </pic:spPr>
                      </pic:pic>
                    </a:graphicData>
                  </a:graphic>
                </wp:inline>
              </w:drawing>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"https://www.iberdrola.com/conocenos/perfil-compania/mision-vision-valores" \h </w:instrText>
            </w:r>
            <w:r>
              <w:fldChar w:fldCharType="separate"/>
            </w:r>
            <w:r>
              <w:rPr>
                <w:color w:val="1155CC"/>
                <w:u w:val="single"/>
              </w:rPr>
              <w:drawing>
                <wp:inline distT="114300" distB="114300" distL="114300" distR="114300">
                  <wp:extent cx="1409700" cy="7905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3" name="image10.png"/>
                          <pic:cNvPicPr preferRelativeResize="0"/>
                        </pic:nvPicPr>
                        <pic:blipFill>
                          <a:blip r:embed="rId17"/>
                          <a:srcRect/>
                          <a:stretch>
                            <a:fillRect/>
                          </a:stretch>
                        </pic:blipFill>
                        <pic:spPr>
                          <a:xfrm>
                            <a:off x="0" y="0"/>
                            <a:ext cx="1409700" cy="790575"/>
                          </a:xfrm>
                          <a:prstGeom prst="rect">
                            <a:avLst/>
                          </a:prstGeom>
                        </pic:spPr>
                      </pic:pic>
                    </a:graphicData>
                  </a:graphic>
                </wp:inline>
              </w:drawing>
            </w:r>
            <w:r>
              <w:rPr>
                <w:color w:val="1155CC"/>
                <w:u w:val="single"/>
              </w:rPr>
              <w:fldChar w:fldCharType="end"/>
            </w:r>
          </w:p>
        </w:tc>
      </w:tr>
      <w:tr>
        <w:tblPrEx>
          <w:tblLayout w:type="fixed"/>
          <w:tblCellMar>
            <w:top w:w="100" w:type="dxa"/>
            <w:left w:w="100" w:type="dxa"/>
            <w:bottom w:w="100" w:type="dxa"/>
            <w:right w:w="100" w:type="dxa"/>
          </w:tblCellMar>
        </w:tblPrEx>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t xml:space="preserve">Compañía 1:: </w:t>
            </w:r>
            <w:r>
              <w:fldChar w:fldCharType="begin"/>
            </w:r>
            <w:r>
              <w:instrText xml:space="preserve"> HYPERLINK "https://www.cocacolaespana.es/informacion/vision-mision-valores" \h </w:instrText>
            </w:r>
            <w:r>
              <w:fldChar w:fldCharType="separate"/>
            </w:r>
            <w:r>
              <w:rPr>
                <w:color w:val="1155CC"/>
                <w:u w:val="single"/>
              </w:rPr>
              <w:t>enlace</w:t>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t xml:space="preserve">Compañía 2: </w:t>
            </w:r>
            <w:r>
              <w:fldChar w:fldCharType="begin"/>
            </w:r>
            <w:r>
              <w:instrText xml:space="preserve"> HYPERLINK "https://www.nestle.com.ve/aboutus/vision" \h </w:instrText>
            </w:r>
            <w:r>
              <w:fldChar w:fldCharType="separate"/>
            </w:r>
            <w:r>
              <w:rPr>
                <w:color w:val="1155CC"/>
                <w:u w:val="single"/>
              </w:rPr>
              <w:t>enlace</w:t>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t xml:space="preserve">Compañía 3: </w:t>
            </w:r>
            <w:r>
              <w:fldChar w:fldCharType="begin"/>
            </w:r>
            <w:r>
              <w:instrText xml:space="preserve"> HYPERLINK "https://www.iberdrola.com/conocenos/perfil-compania/mision-vision-valores" \h </w:instrText>
            </w:r>
            <w:r>
              <w:fldChar w:fldCharType="separate"/>
            </w:r>
            <w:r>
              <w:rPr>
                <w:color w:val="1155CC"/>
                <w:u w:val="single"/>
              </w:rPr>
              <w:t>enlace</w:t>
            </w:r>
            <w:r>
              <w:rPr>
                <w:color w:val="1155CC"/>
                <w:u w:val="single"/>
              </w:rPr>
              <w:fldChar w:fldCharType="end"/>
            </w:r>
          </w:p>
        </w:tc>
      </w:tr>
    </w:tbl>
    <w:p>
      <w:pPr/>
    </w:p>
    <w:p>
      <w:pPr>
        <w:rPr>
          <w:color w:val="0000FF"/>
        </w:rPr>
      </w:pPr>
      <w:r>
        <w:rPr>
          <w:color w:val="0000FF"/>
        </w:rPr>
        <w:t>Incluir las palabras o frases claves de la descripción de la misión, visión y valores de las empresas y organizaciones que se han propuesto anteriormente.</w:t>
      </w:r>
    </w:p>
    <w:p>
      <w:pPr>
        <w:rPr>
          <w:color w:val="0000FF"/>
        </w:rPr>
      </w:pPr>
    </w:p>
    <w:p>
      <w:pPr>
        <w:rPr>
          <w:color w:val="0000FF"/>
        </w:rPr>
      </w:pPr>
      <w:r>
        <w:br w:type="page"/>
      </w:r>
    </w:p>
    <w:p>
      <w:pPr>
        <w:rPr>
          <w:color w:val="0000FF"/>
        </w:rPr>
      </w:pPr>
    </w:p>
    <w:tbl>
      <w:tblPr>
        <w:tblStyle w:val="19"/>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3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sz w:val="21"/>
                <w:szCs w:val="21"/>
              </w:rPr>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sz w:val="21"/>
                <w:szCs w:val="21"/>
              </w:rPr>
            </w:pPr>
            <w:r>
              <w:rPr>
                <w:color w:val="0000FF"/>
                <w:sz w:val="21"/>
                <w:szCs w:val="21"/>
              </w:rPr>
              <w:t>Compañía 1</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sz w:val="21"/>
                <w:szCs w:val="21"/>
              </w:rPr>
            </w:pPr>
            <w:r>
              <w:rPr>
                <w:color w:val="0000FF"/>
                <w:sz w:val="21"/>
                <w:szCs w:val="21"/>
              </w:rPr>
              <w:t>Compañía 2</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sz w:val="21"/>
                <w:szCs w:val="21"/>
              </w:rPr>
            </w:pPr>
            <w:r>
              <w:rPr>
                <w:color w:val="0000FF"/>
                <w:sz w:val="21"/>
                <w:szCs w:val="21"/>
              </w:rPr>
              <w:t>Compañía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40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sz w:val="21"/>
                <w:szCs w:val="21"/>
              </w:rPr>
            </w:pPr>
            <w:r>
              <w:rPr>
                <w:color w:val="0000FF"/>
                <w:sz w:val="21"/>
                <w:szCs w:val="21"/>
              </w:rPr>
              <w:t>Misión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sz w:val="21"/>
                <w:szCs w:val="21"/>
                <w:lang w:val="en-US" w:eastAsia="zh-CN"/>
              </w:rPr>
            </w:pPr>
            <w:r>
              <w:rPr>
                <w:rFonts w:hint="eastAsia"/>
                <w:sz w:val="21"/>
                <w:szCs w:val="21"/>
                <w:lang w:val="en-US" w:eastAsia="zh-CN"/>
              </w:rPr>
              <w:t>R</w:t>
            </w:r>
            <w:r>
              <w:rPr>
                <w:rFonts w:hint="default"/>
                <w:sz w:val="21"/>
                <w:szCs w:val="21"/>
                <w:lang w:val="en-US" w:eastAsia="zh-CN"/>
              </w:rPr>
              <w:t>efrescar al mundo.</w:t>
            </w:r>
          </w:p>
          <w:p>
            <w:pPr>
              <w:widowControl w:val="0"/>
              <w:spacing w:line="240" w:lineRule="auto"/>
              <w:jc w:val="left"/>
              <w:rPr>
                <w:rFonts w:hint="eastAsia"/>
                <w:sz w:val="21"/>
                <w:szCs w:val="21"/>
                <w:lang w:val="en-US" w:eastAsia="zh-CN"/>
              </w:rPr>
            </w:pPr>
            <w:r>
              <w:rPr>
                <w:rFonts w:hint="default"/>
                <w:sz w:val="21"/>
                <w:szCs w:val="21"/>
                <w:lang w:val="en-US" w:eastAsia="zh-CN"/>
              </w:rPr>
              <w:t>Marcar la diferencia.</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jc w:val="left"/>
              <w:rPr>
                <w:rFonts w:hint="default" w:ascii="Arial" w:hAnsi="Arial" w:eastAsia="宋体" w:cs="Arial"/>
                <w:sz w:val="21"/>
                <w:szCs w:val="21"/>
              </w:rPr>
            </w:pPr>
            <w:r>
              <w:rPr>
                <w:rFonts w:hint="default" w:ascii="Arial" w:hAnsi="Arial" w:eastAsia="宋体" w:cs="Arial"/>
                <w:sz w:val="21"/>
                <w:szCs w:val="21"/>
              </w:rPr>
              <w:t>Exceder con servicios, </w:t>
            </w:r>
          </w:p>
          <w:p>
            <w:pPr>
              <w:widowControl/>
              <w:jc w:val="left"/>
              <w:rPr>
                <w:sz w:val="21"/>
                <w:szCs w:val="21"/>
              </w:rPr>
            </w:pPr>
            <w:r>
              <w:rPr>
                <w:rFonts w:hint="default" w:ascii="Arial" w:hAnsi="Arial" w:eastAsia="宋体" w:cs="Arial"/>
                <w:sz w:val="21"/>
                <w:szCs w:val="21"/>
              </w:rPr>
              <w:t>productos y marcas, las expectativas de Nutrición, Salud y Bienestar de nuestros clientes y consumidores.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eastAsia="宋体"/>
                <w:sz w:val="21"/>
                <w:szCs w:val="21"/>
                <w:lang w:val="en-US" w:eastAsia="zh-CN"/>
              </w:rPr>
            </w:pPr>
            <w:r>
              <w:rPr>
                <w:rFonts w:hint="eastAsia" w:eastAsia="宋体"/>
                <w:sz w:val="21"/>
                <w:szCs w:val="21"/>
                <w:lang w:val="en-US" w:eastAsia="zh-CN"/>
              </w:rPr>
              <w:t>Continuar construyando,cada día y en colaboración,un medelo  energético más eléctrico,saludable y accesible.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6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sz w:val="21"/>
                <w:szCs w:val="21"/>
              </w:rPr>
            </w:pPr>
            <w:r>
              <w:rPr>
                <w:color w:val="0000FF"/>
                <w:sz w:val="21"/>
                <w:szCs w:val="21"/>
              </w:rPr>
              <w:t>Visión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sz w:val="21"/>
                <w:szCs w:val="21"/>
                <w:lang w:val="en-US" w:eastAsia="zh-CN"/>
              </w:rPr>
            </w:pPr>
            <w:r>
              <w:rPr>
                <w:rFonts w:hint="default"/>
                <w:sz w:val="21"/>
                <w:szCs w:val="21"/>
                <w:lang w:val="en-US" w:eastAsia="zh-CN"/>
              </w:rPr>
              <w:t>Marcas que cultivan.</w:t>
            </w:r>
          </w:p>
          <w:p>
            <w:pPr>
              <w:widowControl w:val="0"/>
              <w:spacing w:line="240" w:lineRule="auto"/>
              <w:jc w:val="left"/>
              <w:rPr>
                <w:rFonts w:hint="default"/>
                <w:sz w:val="21"/>
                <w:szCs w:val="21"/>
                <w:lang w:val="en-US" w:eastAsia="zh-CN"/>
              </w:rPr>
            </w:pPr>
            <w:r>
              <w:rPr>
                <w:rFonts w:hint="eastAsia"/>
                <w:sz w:val="21"/>
                <w:szCs w:val="21"/>
                <w:lang w:val="en-US" w:eastAsia="zh-CN"/>
              </w:rPr>
              <w:t>D</w:t>
            </w:r>
            <w:r>
              <w:rPr>
                <w:rFonts w:hint="default"/>
                <w:sz w:val="21"/>
                <w:szCs w:val="21"/>
                <w:lang w:val="en-US" w:eastAsia="zh-CN"/>
              </w:rPr>
              <w:t>e forma sostenible.</w:t>
            </w:r>
          </w:p>
          <w:p>
            <w:pPr>
              <w:widowControl w:val="0"/>
              <w:spacing w:line="240" w:lineRule="auto"/>
              <w:jc w:val="left"/>
              <w:rPr>
                <w:sz w:val="21"/>
                <w:szCs w:val="21"/>
              </w:rPr>
            </w:pPr>
            <w:r>
              <w:rPr>
                <w:rFonts w:hint="eastAsia"/>
                <w:sz w:val="21"/>
                <w:szCs w:val="21"/>
                <w:lang w:val="en-US" w:eastAsia="zh-CN"/>
              </w:rPr>
              <w:t>P</w:t>
            </w:r>
            <w:r>
              <w:rPr>
                <w:rFonts w:hint="default"/>
                <w:sz w:val="21"/>
                <w:szCs w:val="21"/>
                <w:lang w:val="en-US" w:eastAsia="zh-CN"/>
              </w:rPr>
              <w:t>or un futuro mejor para todos.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jc w:val="left"/>
              <w:rPr>
                <w:sz w:val="21"/>
                <w:szCs w:val="21"/>
              </w:rPr>
            </w:pPr>
            <w:r>
              <w:rPr>
                <w:rFonts w:hint="default" w:ascii="Arial" w:hAnsi="Arial" w:eastAsia="宋体" w:cs="Arial"/>
                <w:sz w:val="21"/>
                <w:szCs w:val="21"/>
              </w:rPr>
              <w:t>Evolucionar de una respetada y confiable compañía de alimentos a una respetada y confiable compañía de alimentos, nutrición, salud y bienestar.</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Arial" w:hAnsi="Arial" w:eastAsia="宋体" w:cs="Arial"/>
                <w:sz w:val="21"/>
                <w:szCs w:val="21"/>
              </w:rPr>
            </w:pPr>
            <w:r>
              <w:rPr>
                <w:rFonts w:hint="default" w:ascii="Arial" w:hAnsi="Arial" w:eastAsia="宋体" w:cs="Arial"/>
                <w:sz w:val="21"/>
                <w:szCs w:val="21"/>
              </w:rPr>
              <w:t>Determinación de construir un modelo energético más eléctrico.</w:t>
            </w:r>
            <w:r>
              <w:rPr>
                <w:rFonts w:hint="default" w:ascii="Arial" w:hAnsi="Arial" w:eastAsia="宋体" w:cs="Arial"/>
                <w:sz w:val="21"/>
                <w:szCs w:val="21"/>
              </w:rPr>
              <w:br w:type="textWrapping"/>
            </w:r>
            <w:r>
              <w:rPr>
                <w:rFonts w:hint="default" w:ascii="Arial" w:hAnsi="Arial" w:eastAsia="宋体" w:cs="Arial"/>
                <w:sz w:val="21"/>
                <w:szCs w:val="21"/>
              </w:rPr>
              <w:t>Convicción de que un modelo energético más eléctrico es también más saludable.</w:t>
            </w:r>
            <w:r>
              <w:rPr>
                <w:rFonts w:hint="default" w:ascii="Arial" w:hAnsi="Arial" w:eastAsia="宋体" w:cs="Arial"/>
                <w:sz w:val="21"/>
                <w:szCs w:val="21"/>
              </w:rPr>
              <w:br w:type="textWrapp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eastAsia="宋体"/>
                <w:sz w:val="21"/>
                <w:szCs w:val="21"/>
                <w:lang w:val="es-ES" w:eastAsia="zh-CN"/>
              </w:rPr>
            </w:pPr>
            <w:r>
              <w:rPr>
                <w:rFonts w:hint="default" w:ascii="Arial" w:hAnsi="Arial" w:eastAsia="宋体" w:cs="Arial"/>
                <w:sz w:val="21"/>
                <w:szCs w:val="21"/>
              </w:rPr>
              <w:t>Aspiración de conseguir un nuevo modelo energético más accesible para todos.</w:t>
            </w:r>
            <w:r>
              <w:rPr>
                <w:rFonts w:hint="default" w:ascii="Arial" w:hAnsi="Arial" w:eastAsia="宋体" w:cs="Arial"/>
                <w:sz w:val="21"/>
                <w:szCs w:val="21"/>
              </w:rPr>
              <w:br w:type="textWrapping"/>
            </w:r>
            <w:r>
              <w:rPr>
                <w:rFonts w:hint="default" w:ascii="Arial" w:hAnsi="Arial" w:eastAsia="宋体" w:cs="Arial"/>
                <w:sz w:val="21"/>
                <w:szCs w:val="21"/>
              </w:rPr>
              <w:t>Voluntad de seguir construyendo ese modelo en colaboración con los agentes implicados.</w:t>
            </w:r>
            <w:r>
              <w:rPr>
                <w:rFonts w:ascii="宋体" w:hAnsi="宋体" w:eastAsia="宋体" w:cs="宋体"/>
                <w:sz w:val="24"/>
                <w:szCs w:val="24"/>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6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sz w:val="21"/>
                <w:szCs w:val="21"/>
              </w:rPr>
            </w:pPr>
            <w:r>
              <w:rPr>
                <w:color w:val="0000FF"/>
                <w:sz w:val="21"/>
                <w:szCs w:val="21"/>
              </w:rPr>
              <w:t>Valores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ascii="Arial" w:hAnsi="Arial" w:cs="Arial"/>
                <w:sz w:val="21"/>
                <w:szCs w:val="21"/>
              </w:rPr>
            </w:pPr>
            <w:r>
              <w:rPr>
                <w:rFonts w:hint="default" w:ascii="Arial" w:hAnsi="Arial" w:eastAsia="宋体" w:cs="Arial"/>
                <w:sz w:val="21"/>
                <w:szCs w:val="21"/>
              </w:rPr>
              <w:t>En un mundo cada vez más interconectado e hipertransparente, tener claro ese compromiso significa contar con la brújula que nos guiará a hacer lo correcto en cada momento, pero también a rectificar en caso de equivocarnos .</w:t>
            </w:r>
          </w:p>
          <w:p>
            <w:pPr>
              <w:widowControl w:val="0"/>
              <w:spacing w:line="240" w:lineRule="auto"/>
              <w:jc w:val="left"/>
              <w:rPr>
                <w:sz w:val="21"/>
                <w:szCs w:val="21"/>
              </w:rPr>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240" w:lineRule="auto"/>
              <w:ind w:leftChars="0" w:right="0" w:rightChars="0"/>
              <w:jc w:val="left"/>
              <w:textAlignment w:val="baseline"/>
              <w:outlineLvl w:val="9"/>
              <w:rPr>
                <w:sz w:val="21"/>
                <w:szCs w:val="21"/>
              </w:rPr>
            </w:pPr>
            <w:r>
              <w:rPr>
                <w:rFonts w:hint="default" w:ascii="Arial" w:hAnsi="Arial" w:eastAsia="宋体" w:cs="Arial"/>
                <w:sz w:val="21"/>
                <w:szCs w:val="21"/>
              </w:rPr>
              <w:t>Fuerte compromiso con productos y marcas de calidad.</w:t>
            </w:r>
            <w:r>
              <w:rPr>
                <w:rFonts w:hint="default" w:ascii="Arial" w:hAnsi="Arial" w:eastAsia="宋体" w:cs="Arial"/>
                <w:sz w:val="21"/>
                <w:szCs w:val="21"/>
              </w:rPr>
              <w:br w:type="textWrapping"/>
            </w:r>
            <w:r>
              <w:rPr>
                <w:rFonts w:hint="default" w:ascii="Arial" w:hAnsi="Arial" w:eastAsia="宋体" w:cs="Arial"/>
                <w:sz w:val="21"/>
                <w:szCs w:val="21"/>
              </w:rPr>
              <w:t>Respeto de otras culturasy tradiciones.</w:t>
            </w:r>
            <w:r>
              <w:rPr>
                <w:rFonts w:hint="default" w:ascii="Arial" w:hAnsi="Arial" w:eastAsia="宋体" w:cs="Arial"/>
                <w:sz w:val="21"/>
                <w:szCs w:val="21"/>
              </w:rPr>
              <w:br w:type="textWrapping"/>
            </w:r>
            <w:r>
              <w:rPr>
                <w:rFonts w:hint="default" w:ascii="Arial" w:hAnsi="Arial" w:eastAsia="宋体" w:cs="Arial"/>
                <w:sz w:val="21"/>
                <w:szCs w:val="21"/>
              </w:rPr>
              <w:t>Relaciones personales basadas en la confianza y elrespeto mutuo.</w:t>
            </w:r>
            <w:r>
              <w:rPr>
                <w:rFonts w:hint="default" w:ascii="Arial" w:hAnsi="Arial" w:eastAsia="宋体" w:cs="Arial"/>
                <w:sz w:val="21"/>
                <w:szCs w:val="21"/>
              </w:rPr>
              <w:br w:type="textWrapping"/>
            </w:r>
            <w:r>
              <w:rPr>
                <w:rFonts w:hint="default" w:ascii="Arial" w:hAnsi="Arial" w:eastAsia="宋体" w:cs="Arial"/>
                <w:sz w:val="21"/>
                <w:szCs w:val="21"/>
              </w:rPr>
              <w:t>Alto nivel de tolerancia frente a las ideas y opiniones de los demás.</w:t>
            </w:r>
            <w:r>
              <w:rPr>
                <w:rFonts w:hint="default" w:ascii="Arial" w:hAnsi="Arial" w:eastAsia="宋体" w:cs="Arial"/>
                <w:sz w:val="21"/>
                <w:szCs w:val="21"/>
              </w:rPr>
              <w:br w:type="textWrapping"/>
            </w:r>
            <w:r>
              <w:rPr>
                <w:rFonts w:hint="default" w:ascii="Arial" w:hAnsi="Arial" w:eastAsia="宋体" w:cs="Arial"/>
                <w:sz w:val="21"/>
                <w:szCs w:val="21"/>
              </w:rPr>
              <w:t>Enfoque más pragmático de los negocios.</w:t>
            </w:r>
            <w:r>
              <w:rPr>
                <w:rFonts w:hint="default" w:ascii="Arial" w:hAnsi="Arial" w:eastAsia="宋体" w:cs="Arial"/>
                <w:sz w:val="21"/>
                <w:szCs w:val="21"/>
              </w:rPr>
              <w:br w:type="textWrapping"/>
            </w:r>
            <w:r>
              <w:rPr>
                <w:rFonts w:hint="default" w:ascii="Arial" w:hAnsi="Arial" w:eastAsia="宋体" w:cs="Arial"/>
                <w:sz w:val="21"/>
                <w:szCs w:val="21"/>
              </w:rPr>
              <w:t>Apertura y curiosidad frente a futuras tendencias tecnológicas dinámicas.</w:t>
            </w:r>
            <w:r>
              <w:rPr>
                <w:rFonts w:hint="default" w:ascii="Arial" w:hAnsi="Arial" w:eastAsia="宋体" w:cs="Arial"/>
                <w:sz w:val="21"/>
                <w:szCs w:val="21"/>
              </w:rPr>
              <w:br w:type="textWrapping"/>
            </w:r>
            <w:r>
              <w:rPr>
                <w:rFonts w:hint="default" w:ascii="Arial" w:hAnsi="Arial" w:eastAsia="宋体" w:cs="Arial"/>
                <w:sz w:val="21"/>
                <w:szCs w:val="21"/>
              </w:rPr>
              <w:t>Orgullo de contribuir a la reputación y los resultado de la Compañía.</w:t>
            </w:r>
            <w:r>
              <w:rPr>
                <w:rFonts w:hint="default" w:ascii="Arial" w:hAnsi="Arial" w:eastAsia="宋体" w:cs="Arial"/>
                <w:sz w:val="21"/>
                <w:szCs w:val="21"/>
              </w:rPr>
              <w:br w:type="textWrapping"/>
            </w:r>
            <w:r>
              <w:rPr>
                <w:rFonts w:hint="default" w:ascii="Arial" w:hAnsi="Arial" w:eastAsia="宋体" w:cs="Arial"/>
                <w:sz w:val="21"/>
                <w:szCs w:val="21"/>
              </w:rPr>
              <w:t>Lealtad a la Compañía e identificación con ella.</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eastAsia="宋体"/>
                <w:sz w:val="21"/>
                <w:szCs w:val="21"/>
                <w:lang w:val="en-US" w:eastAsia="zh-CN"/>
              </w:rPr>
            </w:pPr>
            <w:r>
              <w:rPr>
                <w:rFonts w:hint="eastAsia"/>
                <w:sz w:val="21"/>
                <w:szCs w:val="21"/>
              </w:rPr>
              <w:t>Comprometidos con un modelo energético que prioriza el bienestar de las personas y la preservación del planeta</w:t>
            </w:r>
            <w:r>
              <w:rPr>
                <w:rFonts w:hint="eastAsia" w:eastAsia="宋体"/>
                <w:sz w:val="21"/>
                <w:szCs w:val="21"/>
                <w:lang w:val="en-US" w:eastAsia="zh-CN"/>
              </w:rPr>
              <w:t>.</w:t>
            </w:r>
          </w:p>
          <w:p>
            <w:pPr>
              <w:widowControl w:val="0"/>
              <w:spacing w:line="240" w:lineRule="auto"/>
              <w:jc w:val="left"/>
              <w:rPr>
                <w:rFonts w:hint="default" w:eastAsia="宋体" w:cs="Arial"/>
                <w:sz w:val="21"/>
                <w:szCs w:val="21"/>
                <w:lang w:val="es-ES"/>
              </w:rPr>
            </w:pPr>
            <w:r>
              <w:rPr>
                <w:rFonts w:hint="eastAsia" w:eastAsia="宋体"/>
                <w:sz w:val="21"/>
                <w:szCs w:val="21"/>
                <w:lang w:val="en-US" w:eastAsia="zh-CN"/>
              </w:rPr>
              <w:t xml:space="preserve">Apuesta por una </w:t>
            </w:r>
            <w:r>
              <w:rPr>
                <w:rFonts w:hint="default" w:ascii="Arial" w:hAnsi="Arial" w:eastAsia="宋体" w:cs="Arial"/>
                <w:sz w:val="21"/>
                <w:szCs w:val="21"/>
              </w:rPr>
              <w:t>transición energética</w:t>
            </w:r>
            <w:r>
              <w:rPr>
                <w:rFonts w:hint="default" w:eastAsia="宋体" w:cs="Arial"/>
                <w:sz w:val="21"/>
                <w:szCs w:val="21"/>
                <w:lang w:val="es-ES"/>
              </w:rPr>
              <w:t>.</w:t>
            </w:r>
          </w:p>
          <w:p>
            <w:pPr>
              <w:widowControl w:val="0"/>
              <w:spacing w:line="240" w:lineRule="auto"/>
              <w:jc w:val="left"/>
              <w:rPr>
                <w:sz w:val="21"/>
                <w:szCs w:val="21"/>
              </w:rPr>
            </w:pPr>
            <w:r>
              <w:rPr>
                <w:rFonts w:hint="default" w:ascii="Arial" w:hAnsi="Arial" w:eastAsia="宋体" w:cs="Arial"/>
                <w:sz w:val="21"/>
                <w:szCs w:val="21"/>
              </w:rPr>
              <w:t>Impulso al desarrollo de las energías limpias.</w:t>
            </w:r>
          </w:p>
        </w:tc>
      </w:tr>
    </w:tbl>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Pr>
        <w:t>Como ejercicio interesante, para comparar con las compañías anteriores, se plantea buscar (o deducir) la misión, la visión y los valores de las siguientes organizaciones.</w:t>
      </w:r>
    </w:p>
    <w:tbl>
      <w:tblPr>
        <w:tblStyle w:val="20"/>
        <w:tblW w:w="9027" w:type="dxa"/>
        <w:tblInd w:w="0" w:type="dxa"/>
        <w:tblLayout w:type="fixed"/>
        <w:tblCellMar>
          <w:top w:w="100" w:type="dxa"/>
          <w:left w:w="100" w:type="dxa"/>
          <w:bottom w:w="100" w:type="dxa"/>
          <w:right w:w="100" w:type="dxa"/>
        </w:tblCellMar>
      </w:tblPr>
      <w:tblGrid>
        <w:gridCol w:w="3009"/>
        <w:gridCol w:w="3009"/>
        <w:gridCol w:w="3009"/>
      </w:tblGrid>
      <w:tr>
        <w:tblPrEx>
          <w:tblLayout w:type="fixed"/>
          <w:tblCellMar>
            <w:top w:w="100" w:type="dxa"/>
            <w:left w:w="100" w:type="dxa"/>
            <w:bottom w:w="100" w:type="dxa"/>
            <w:right w:w="100" w:type="dxa"/>
          </w:tblCellMar>
        </w:tblPrEx>
        <w:tc>
          <w:tcPr>
            <w:tcW w:w="3009" w:type="dxa"/>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"https://es.greenpeace.org/es/" \h </w:instrText>
            </w:r>
            <w:r>
              <w:fldChar w:fldCharType="separate"/>
            </w:r>
            <w:r>
              <w:rPr>
                <w:color w:val="1155CC"/>
                <w:u w:val="single"/>
              </w:rPr>
              <w:drawing>
                <wp:inline distT="114300" distB="114300" distL="114300" distR="114300">
                  <wp:extent cx="1771650" cy="27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8"/>
                          <a:srcRect/>
                          <a:stretch>
                            <a:fillRect/>
                          </a:stretch>
                        </pic:blipFill>
                        <pic:spPr>
                          <a:xfrm>
                            <a:off x="0" y="0"/>
                            <a:ext cx="1771650" cy="279400"/>
                          </a:xfrm>
                          <a:prstGeom prst="rect">
                            <a:avLst/>
                          </a:prstGeom>
                        </pic:spPr>
                      </pic:pic>
                    </a:graphicData>
                  </a:graphic>
                </wp:inline>
              </w:drawing>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widowControl w:val="0"/>
              <w:spacing w:line="240" w:lineRule="auto"/>
              <w:jc w:val="center"/>
            </w:pPr>
            <w:r>
              <w:fldChar w:fldCharType="begin"/>
            </w:r>
            <w:r>
              <w:instrText xml:space="preserve"> HYPERLINK "https://www.es.amnesty.org/" \h </w:instrText>
            </w:r>
            <w:r>
              <w:fldChar w:fldCharType="separate"/>
            </w:r>
            <w:r>
              <w:rPr>
                <w:color w:val="1155CC"/>
                <w:u w:val="single"/>
              </w:rPr>
              <w:drawing>
                <wp:inline distT="114300" distB="114300" distL="114300" distR="114300">
                  <wp:extent cx="1771650" cy="5334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14" name="image13.png"/>
                          <pic:cNvPicPr preferRelativeResize="0"/>
                        </pic:nvPicPr>
                        <pic:blipFill>
                          <a:blip r:embed="rId19"/>
                          <a:srcRect/>
                          <a:stretch>
                            <a:fillRect/>
                          </a:stretch>
                        </pic:blipFill>
                        <pic:spPr>
                          <a:xfrm>
                            <a:off x="0" y="0"/>
                            <a:ext cx="1771650" cy="533400"/>
                          </a:xfrm>
                          <a:prstGeom prst="rect">
                            <a:avLst/>
                          </a:prstGeom>
                        </pic:spPr>
                      </pic:pic>
                    </a:graphicData>
                  </a:graphic>
                </wp:inline>
              </w:drawing>
            </w:r>
            <w:r>
              <w:rPr>
                <w:color w:val="1155CC"/>
                <w:u w:val="single"/>
              </w:rPr>
              <w:fldChar w:fldCharType="end"/>
            </w:r>
          </w:p>
        </w:tc>
        <w:tc>
          <w:tcPr>
            <w:tcW w:w="3009" w:type="dxa"/>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"https://www.unops.org" \h </w:instrText>
            </w:r>
            <w:r>
              <w:fldChar w:fldCharType="separate"/>
            </w:r>
            <w:r>
              <w:rPr>
                <w:color w:val="1155CC"/>
                <w:u w:val="single"/>
              </w:rPr>
              <w:drawing>
                <wp:inline distT="114300" distB="114300" distL="114300" distR="114300">
                  <wp:extent cx="1771650" cy="317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12" name="image11.png"/>
                          <pic:cNvPicPr preferRelativeResize="0"/>
                        </pic:nvPicPr>
                        <pic:blipFill>
                          <a:blip r:embed="rId20"/>
                          <a:srcRect/>
                          <a:stretch>
                            <a:fillRect/>
                          </a:stretch>
                        </pic:blipFill>
                        <pic:spPr>
                          <a:xfrm>
                            <a:off x="0" y="0"/>
                            <a:ext cx="1771650" cy="317500"/>
                          </a:xfrm>
                          <a:prstGeom prst="rect">
                            <a:avLst/>
                          </a:prstGeom>
                        </pic:spPr>
                      </pic:pic>
                    </a:graphicData>
                  </a:graphic>
                </wp:inline>
              </w:drawing>
            </w:r>
            <w:r>
              <w:rPr>
                <w:color w:val="1155CC"/>
                <w:u w:val="single"/>
              </w:rPr>
              <w:fldChar w:fldCharType="end"/>
            </w:r>
          </w:p>
        </w:tc>
      </w:tr>
      <w:tr>
        <w:tblPrEx>
          <w:tblLayout w:type="fixed"/>
          <w:tblCellMar>
            <w:top w:w="100" w:type="dxa"/>
            <w:left w:w="100" w:type="dxa"/>
            <w:bottom w:w="100" w:type="dxa"/>
            <w:right w:w="100" w:type="dxa"/>
          </w:tblCellMar>
        </w:tblPrEx>
        <w:tc>
          <w:tcPr>
            <w:tcW w:w="3009" w:type="dxa"/>
            <w:shd w:val="clear" w:color="auto" w:fill="auto"/>
            <w:tcMar>
              <w:top w:w="100" w:type="dxa"/>
              <w:left w:w="100" w:type="dxa"/>
              <w:bottom w:w="100" w:type="dxa"/>
              <w:right w:w="100" w:type="dxa"/>
            </w:tcMar>
            <w:vAlign w:val="top"/>
          </w:tcPr>
          <w:p>
            <w:pPr>
              <w:widowControl w:val="0"/>
              <w:spacing w:line="240" w:lineRule="auto"/>
              <w:jc w:val="center"/>
            </w:pPr>
            <w:r>
              <w:t xml:space="preserve">Organización 1:: </w:t>
            </w:r>
            <w:r>
              <w:fldChar w:fldCharType="begin"/>
            </w:r>
            <w:r>
              <w:instrText xml:space="preserve"> HYPERLINK "https://es.greenpeace.org/es/" \h </w:instrText>
            </w:r>
            <w:r>
              <w:fldChar w:fldCharType="separate"/>
            </w:r>
            <w:r>
              <w:rPr>
                <w:color w:val="1155CC"/>
                <w:u w:val="single"/>
              </w:rPr>
              <w:t>enlace</w:t>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widowControl w:val="0"/>
              <w:spacing w:line="240" w:lineRule="auto"/>
              <w:jc w:val="center"/>
            </w:pPr>
            <w:r>
              <w:t xml:space="preserve">Organización 2: </w:t>
            </w:r>
            <w:r>
              <w:fldChar w:fldCharType="begin"/>
            </w:r>
            <w:r>
              <w:instrText xml:space="preserve"> HYPERLINK "https://www.es.amnesty.org/" \h </w:instrText>
            </w:r>
            <w:r>
              <w:fldChar w:fldCharType="separate"/>
            </w:r>
            <w:r>
              <w:rPr>
                <w:color w:val="1155CC"/>
                <w:u w:val="single"/>
              </w:rPr>
              <w:t>enlace</w:t>
            </w:r>
            <w:r>
              <w:rPr>
                <w:color w:val="1155CC"/>
                <w:u w:val="single"/>
              </w:rPr>
              <w:fldChar w:fldCharType="end"/>
            </w:r>
          </w:p>
        </w:tc>
        <w:tc>
          <w:tcPr>
            <w:tcW w:w="3009" w:type="dxa"/>
            <w:shd w:val="clear" w:color="auto" w:fill="auto"/>
            <w:tcMar>
              <w:top w:w="100" w:type="dxa"/>
              <w:left w:w="100" w:type="dxa"/>
              <w:bottom w:w="100" w:type="dxa"/>
              <w:right w:w="100" w:type="dxa"/>
            </w:tcMar>
            <w:vAlign w:val="top"/>
          </w:tcPr>
          <w:p>
            <w:pPr>
              <w:widowControl w:val="0"/>
              <w:spacing w:line="240" w:lineRule="auto"/>
              <w:jc w:val="center"/>
            </w:pPr>
            <w:r>
              <w:t xml:space="preserve">Organización 3: </w:t>
            </w:r>
            <w:r>
              <w:fldChar w:fldCharType="begin"/>
            </w:r>
            <w:r>
              <w:instrText xml:space="preserve"> HYPERLINK "https://www.unops.org" \h </w:instrText>
            </w:r>
            <w:r>
              <w:fldChar w:fldCharType="separate"/>
            </w:r>
            <w:r>
              <w:rPr>
                <w:color w:val="1155CC"/>
                <w:u w:val="single"/>
              </w:rPr>
              <w:t>enlace</w:t>
            </w:r>
            <w:r>
              <w:rPr>
                <w:color w:val="1155CC"/>
                <w:u w:val="single"/>
              </w:rPr>
              <w:fldChar w:fldCharType="end"/>
            </w:r>
          </w:p>
        </w:tc>
      </w:tr>
    </w:tbl>
    <w:p>
      <w:pPr>
        <w:rPr>
          <w:color w:val="0000FF"/>
        </w:rPr>
      </w:pPr>
    </w:p>
    <w:p>
      <w:pPr>
        <w:rPr>
          <w:color w:val="0000FF"/>
        </w:rPr>
      </w:pPr>
      <w:r>
        <w:br w:type="page"/>
      </w:r>
    </w:p>
    <w:p>
      <w:pPr>
        <w:rPr>
          <w:color w:val="0000FF"/>
        </w:rPr>
      </w:pPr>
    </w:p>
    <w:tbl>
      <w:tblPr>
        <w:tblStyle w:val="21"/>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3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Pr>
              <w:t>Organización 1</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Pr>
              <w:t>Organización 2</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Pr>
              <w:t>Organización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280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Pr>
              <w:t>Misión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eastAsia="宋体"/>
                <w:lang w:eastAsia="zh-CN"/>
              </w:rPr>
            </w:pPr>
            <w:r>
              <w:rPr>
                <w:rFonts w:hint="default" w:ascii="Arial" w:hAnsi="Arial" w:eastAsia="宋体" w:cs="Arial"/>
                <w:sz w:val="21"/>
                <w:szCs w:val="21"/>
              </w:rPr>
              <w:t>Detener el cambio climático.</w:t>
            </w:r>
            <w:r>
              <w:rPr>
                <w:rFonts w:hint="default" w:ascii="Arial" w:hAnsi="Arial" w:eastAsia="宋体" w:cs="Arial"/>
                <w:sz w:val="21"/>
                <w:szCs w:val="21"/>
              </w:rPr>
              <w:br w:type="textWrapping"/>
            </w:r>
            <w:r>
              <w:rPr>
                <w:rFonts w:hint="default" w:ascii="Arial" w:hAnsi="Arial" w:eastAsia="宋体" w:cs="Arial"/>
                <w:sz w:val="21"/>
                <w:szCs w:val="21"/>
              </w:rPr>
              <w:t>Proteger la biodiversidad en todas sus formas. </w:t>
            </w:r>
            <w:r>
              <w:rPr>
                <w:rFonts w:hint="default" w:ascii="Arial" w:hAnsi="Arial" w:eastAsia="宋体" w:cs="Arial"/>
                <w:sz w:val="21"/>
                <w:szCs w:val="21"/>
              </w:rPr>
              <w:br w:type="textWrapping"/>
            </w:r>
            <w:r>
              <w:rPr>
                <w:rFonts w:hint="default" w:ascii="Arial" w:hAnsi="Arial" w:eastAsia="宋体" w:cs="Arial"/>
                <w:sz w:val="21"/>
                <w:szCs w:val="21"/>
              </w:rPr>
              <w:t>Prevenir la contaminación y el abuso de los océanos, las tierras, el aire y el agua dulce.</w:t>
            </w:r>
            <w:r>
              <w:rPr>
                <w:rFonts w:hint="default" w:ascii="Arial" w:hAnsi="Arial" w:eastAsia="宋体" w:cs="Arial"/>
                <w:sz w:val="21"/>
                <w:szCs w:val="21"/>
              </w:rPr>
              <w:br w:type="textWrapping"/>
            </w:r>
            <w:r>
              <w:rPr>
                <w:rFonts w:hint="default" w:ascii="Arial" w:hAnsi="Arial" w:eastAsia="宋体" w:cs="Arial"/>
                <w:sz w:val="21"/>
                <w:szCs w:val="21"/>
              </w:rPr>
              <w:t>Promover la paz, el desarme mundial y la no violencia.</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default" w:ascii="Arial" w:hAnsi="Arial" w:eastAsia="宋体" w:cs="Arial"/>
                <w:sz w:val="21"/>
                <w:szCs w:val="21"/>
              </w:rPr>
              <w:t>Investigan y denuncian los abusos contra los derechos humanos en todo el mundo. Llevamos a torturadores ante la justicia. Cambiamos leyes opresivas. Luchamos contra la discriminación. Y liberamos a personas encarceladas únicamente por sus ideas.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default" w:ascii="Arial" w:hAnsi="Arial" w:eastAsia="宋体" w:cs="Arial"/>
                <w:sz w:val="21"/>
                <w:szCs w:val="21"/>
              </w:rPr>
              <w:t>Ayudar a las personas a construir una vida mejor y a que los países logren la paz y el desarrollo sostenible.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6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Pr>
              <w:t>Visión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ascii="Arial" w:hAnsi="Arial" w:cs="Arial"/>
                <w:sz w:val="21"/>
                <w:szCs w:val="21"/>
                <w:lang w:val="es-ES"/>
              </w:rPr>
            </w:pPr>
            <w:r>
              <w:rPr>
                <w:rFonts w:hint="default" w:ascii="Arial" w:hAnsi="Arial" w:eastAsia="宋体" w:cs="Arial"/>
                <w:sz w:val="21"/>
                <w:szCs w:val="21"/>
              </w:rPr>
              <w:t>Las personas puedan disfrutar de un futuro verde y en paz.</w:t>
            </w:r>
          </w:p>
          <w:p>
            <w:pPr>
              <w:widowControl w:val="0"/>
              <w:spacing w:line="240" w:lineRule="auto"/>
              <w:jc w:val="left"/>
            </w:pPr>
          </w:p>
          <w:p>
            <w:pPr>
              <w:widowControl w:val="0"/>
              <w:spacing w:line="240" w:lineRule="auto"/>
              <w:jc w:val="left"/>
            </w:pPr>
          </w:p>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default" w:ascii="Arial" w:hAnsi="Arial" w:eastAsia="宋体" w:cs="Arial"/>
                <w:sz w:val="21"/>
                <w:szCs w:val="21"/>
              </w:rPr>
              <w:t>CLucha por la humanidad y protege los derechos humanos.reen en el poder de la gente y en la fuerza de la unión para conseguir que los derechos humanos se respeten en todo el mundo.</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default" w:ascii="Arial" w:hAnsi="Arial" w:eastAsia="宋体" w:cs="Arial"/>
                <w:sz w:val="21"/>
                <w:szCs w:val="21"/>
              </w:rPr>
              <w:t>Un mundo en el que las personas puedan vivir una vida plena con el apoyo de una infraestructura adecuada, sostenible y resiliente y del uso eficiente y transparente de los recursos públicos en la gestión de adquisiciones y proyectos.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660" w:hRule="atLeast"/>
        </w:trPr>
        <w:tc>
          <w:tcPr>
            <w:tcW w:w="108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Pr>
              <w:t>Valores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ascii="Arial" w:hAnsi="Arial" w:cs="Arial"/>
                <w:sz w:val="21"/>
                <w:szCs w:val="21"/>
              </w:rPr>
            </w:pPr>
            <w:r>
              <w:rPr>
                <w:rFonts w:hint="default" w:ascii="Arial" w:hAnsi="Arial" w:eastAsia="宋体" w:cs="Arial"/>
                <w:sz w:val="21"/>
                <w:szCs w:val="21"/>
              </w:rPr>
              <w:t>Greenpeace utiliza la acción directa no violenta para atraer la atención pública hacia los problemas globales del medio ambiente e impulsar las soluciones necesarias para tener un futuro verde y en paz.</w:t>
            </w:r>
          </w:p>
          <w:p>
            <w:pPr>
              <w:widowControl w:val="0"/>
              <w:spacing w:line="240" w:lineRule="auto"/>
              <w:jc w:val="left"/>
            </w:pPr>
          </w:p>
          <w:p>
            <w:pPr>
              <w:widowControl w:val="0"/>
              <w:spacing w:line="240" w:lineRule="auto"/>
              <w:jc w:val="left"/>
            </w:pPr>
          </w:p>
          <w:p>
            <w:pPr>
              <w:widowControl w:val="0"/>
              <w:spacing w:line="240" w:lineRule="auto"/>
              <w:jc w:val="left"/>
            </w:pPr>
            <w:r>
              <w:t xml:space="preserve"> </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lang w:val="es-ES"/>
              </w:rPr>
            </w:pPr>
            <w:r>
              <w:rPr>
                <w:rFonts w:hint="default" w:ascii="Arial" w:hAnsi="Arial" w:eastAsia="宋体" w:cs="Arial"/>
                <w:sz w:val="21"/>
                <w:szCs w:val="21"/>
              </w:rPr>
              <w:t>Las personas son libres y pueden vivir con dignidad</w:t>
            </w:r>
            <w:r>
              <w:rPr>
                <w:rFonts w:hint="default" w:eastAsia="宋体" w:cs="Arial"/>
                <w:sz w:val="21"/>
                <w:szCs w:val="21"/>
                <w:lang w:val="es-ES"/>
              </w:rPr>
              <w:t>.</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default" w:ascii="Arial" w:hAnsi="Arial" w:eastAsia="宋体" w:cs="Arial"/>
                <w:sz w:val="21"/>
                <w:szCs w:val="21"/>
              </w:rPr>
              <w:t>Reconocen que las alianzas sólidas y la coodinación eficaz entre los diversos actores son cruciales para la eficiencia y la innovación.</w:t>
            </w:r>
            <w:r>
              <w:rPr>
                <w:rFonts w:hint="default" w:ascii="Arial" w:hAnsi="Arial" w:eastAsia="宋体" w:cs="Arial"/>
                <w:sz w:val="21"/>
                <w:szCs w:val="21"/>
              </w:rPr>
              <w:br w:type="textWrapping"/>
            </w:r>
            <w:r>
              <w:rPr>
                <w:rFonts w:hint="default" w:ascii="Arial" w:hAnsi="Arial" w:eastAsia="宋体" w:cs="Arial"/>
                <w:sz w:val="21"/>
                <w:szCs w:val="21"/>
              </w:rPr>
              <w:t>Agregan valor a los resultados de nuestros socios cuando nuestras prácticas y desempeño  tienen estándares de reconocidos de excelencia y están bien adaptados a las condiciones locales.</w:t>
            </w:r>
            <w:r>
              <w:rPr>
                <w:rFonts w:hint="default" w:ascii="Arial" w:hAnsi="Arial" w:eastAsia="宋体" w:cs="Arial"/>
                <w:sz w:val="21"/>
                <w:szCs w:val="21"/>
              </w:rPr>
              <w:br w:type="textWrapping"/>
            </w:r>
            <w:r>
              <w:rPr>
                <w:rFonts w:hint="default" w:ascii="Arial" w:hAnsi="Arial" w:eastAsia="宋体" w:cs="Arial"/>
                <w:sz w:val="21"/>
                <w:szCs w:val="21"/>
              </w:rPr>
              <w:t>Buscan ayudar a nuestros socios a ejercer su responsabilidad.Crean que la transparencia es fundamental pala garantizar  el uso eficiente de los recursos.</w:t>
            </w:r>
            <w:r>
              <w:rPr>
                <w:rFonts w:hint="default" w:ascii="Arial" w:hAnsi="Arial" w:eastAsia="宋体" w:cs="Arial"/>
                <w:sz w:val="21"/>
                <w:szCs w:val="21"/>
              </w:rPr>
              <w:br w:type="textWrapping"/>
            </w:r>
            <w:r>
              <w:rPr>
                <w:rFonts w:hint="default" w:ascii="Arial" w:hAnsi="Arial" w:eastAsia="宋体" w:cs="Arial"/>
                <w:sz w:val="21"/>
                <w:szCs w:val="21"/>
              </w:rPr>
              <w:t>Respetan y apoyan la propiedad nacional y ayudan a desarrollar la capacidad nacional.Esta es la base de la sostenibilidad.</w:t>
            </w:r>
          </w:p>
        </w:tc>
      </w:tr>
    </w:tbl>
    <w:p>
      <w:pPr/>
    </w:p>
    <w:p>
      <w:pPr/>
    </w:p>
    <w:p>
      <w:pPr/>
      <w:r>
        <w:t>Teniendo en cuenta los resultados obtenidos en los ejercicios anteriores..</w:t>
      </w: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Pr>
        <w:t>¿Es fácil diferenciar claramente, basándose en la misión, visión y valores, unas compañías y organizaciones de otras?</w:t>
      </w:r>
    </w:p>
    <w:tbl>
      <w:tblPr>
        <w:tblStyle w:val="22"/>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1435" w:hRule="atLeast"/>
        </w:trPr>
        <w:tc>
          <w:tcPr>
            <w:tcW w:w="9029"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eastAsia" w:eastAsia="宋体"/>
                <w:lang w:val="en-US" w:eastAsia="zh-CN"/>
              </w:rPr>
            </w:pPr>
            <w:r>
              <w:rPr>
                <w:color w:val="000000" w:themeColor="text1"/>
                <w14:textFill>
                  <w14:solidFill>
                    <w14:schemeClr w14:val="tx1"/>
                  </w14:solidFill>
                </w14:textFill>
              </w:rPr>
              <w:t>Es fácil diferenciar claramente, basándose en la misión, visión y valores, unas compañías y organizaciones de otras</w:t>
            </w:r>
            <w:r>
              <w:rPr>
                <w:rFonts w:hint="eastAsia" w:eastAsia="宋体"/>
                <w:color w:val="000000" w:themeColor="text1"/>
                <w:lang w:val="en-US" w:eastAsia="zh-CN"/>
                <w14:textFill>
                  <w14:solidFill>
                    <w14:schemeClr w14:val="tx1"/>
                  </w14:solidFill>
                </w14:textFill>
              </w:rPr>
              <w:t>.</w:t>
            </w:r>
          </w:p>
        </w:tc>
      </w:tr>
    </w:tbl>
    <w:p>
      <w:pP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Pr>
        <w:t>¿Quienes dan la sensación de “tener más claro por qué hacen lo que hacen”?</w:t>
      </w:r>
    </w:p>
    <w:tbl>
      <w:tblPr>
        <w:tblStyle w:val="23"/>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1200" w:hRule="atLeast"/>
        </w:trPr>
        <w:tc>
          <w:tcPr>
            <w:tcW w:w="9029"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color w:val="0000FF"/>
              </w:rPr>
            </w:pPr>
            <w:r>
              <w:rPr>
                <w:rFonts w:hint="default" w:ascii="Arial" w:hAnsi="Arial" w:eastAsia="宋体" w:cs="Arial"/>
                <w:sz w:val="22"/>
                <w:szCs w:val="22"/>
              </w:rPr>
              <w:t>Personas que tienen sus propios intereses y se unen a la tribu correspondiente.</w:t>
            </w:r>
          </w:p>
        </w:tc>
      </w:tr>
    </w:tbl>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Pr>
        <w:t>¿Sabrías detectar las “tribus” en los seis casos (compañías y organizaciones) anteriores?</w:t>
      </w:r>
    </w:p>
    <w:tbl>
      <w:tblPr>
        <w:tblStyle w:val="24"/>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Ex>
        <w:trPr>
          <w:trHeight w:val="1660" w:hRule="atLeast"/>
        </w:trPr>
        <w:tc>
          <w:tcPr>
            <w:tcW w:w="9029"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lang w:val="en-US"/>
              </w:rPr>
            </w:pPr>
            <w:r>
              <w:rPr>
                <w:lang w:val="en-US"/>
              </w:rPr>
              <w:t>IBERDROLA</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lang w:val="en-US"/>
              </w:rPr>
            </w:pPr>
            <w:r>
              <w:rPr>
                <w:lang w:val="en-US"/>
              </w:rPr>
              <w:t>GREENPEACE</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lang w:val="en-US"/>
              </w:rPr>
            </w:pPr>
            <w:r>
              <w:rPr>
                <w:lang w:val="en-US"/>
              </w:rPr>
              <w:t xml:space="preserve">AMNISTÍA INTERNACIONAL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lang w:val="en-US"/>
              </w:rPr>
            </w:pPr>
            <w:r>
              <w:rPr>
                <w:lang w:val="en-US"/>
              </w:rPr>
              <w:t>UNOPS</w:t>
            </w:r>
          </w:p>
        </w:tc>
      </w:tr>
    </w:tbl>
    <w:p>
      <w:pPr/>
    </w:p>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3" w:name="_m355bia1z68a" w:colFirst="0" w:colLast="0"/>
      <w:bookmarkEnd w:id="3"/>
      <w:r>
        <w:rPr>
          <w:rFonts w:ascii="Trebuchet MS" w:hAnsi="Trebuchet MS" w:eastAsia="Trebuchet MS" w:cs="Trebuchet MS"/>
          <w:sz w:val="32"/>
          <w:szCs w:val="32"/>
        </w:rPr>
        <w:t>La tribu..., mi tribu...</w:t>
      </w:r>
    </w:p>
    <w:p>
      <w:pPr/>
      <w:r>
        <w:t>Llegados ya a este punto, deberíamos ser capaces de definir la misión, la visión y los valores de nuestra tribu.</w:t>
      </w:r>
    </w:p>
    <w:p>
      <w:pPr/>
    </w:p>
    <w:p>
      <w:pPr>
        <w:numPr>
          <w:numId w:val="0"/>
        </w:numPr>
        <w:ind w:left="0" w:leftChars="0" w:firstLine="0" w:firstLineChars="0"/>
        <w:rPr>
          <w:color w:val="0000FF"/>
        </w:rPr>
      </w:pPr>
      <w:bookmarkStart w:id="4" w:name="_GoBack"/>
      <w:bookmarkEnd w:id="4"/>
    </w:p>
    <w:p>
      <w:pPr>
        <w:numPr>
          <w:numId w:val="0"/>
        </w:numPr>
        <w:ind w:left="-30" w:leftChars="0"/>
        <w:rPr>
          <w:color w:val="0000FF"/>
          <w:lang w:val="en-US"/>
        </w:rPr>
      </w:pPr>
      <w:r>
        <w:rPr>
          <w:color w:val="0000FF"/>
          <w:lang w:val="en-US"/>
        </w:rPr>
        <w:t xml:space="preserve">La tribu:sigue bailando </w:t>
      </w:r>
    </w:p>
    <w:p>
      <w:pPr>
        <w:numPr>
          <w:numId w:val="0"/>
        </w:numPr>
        <w:ind w:left="-30" w:leftChars="0"/>
        <w:rPr>
          <w:color w:val="0000FF"/>
          <w:lang w:val="en-US"/>
        </w:rPr>
      </w:pPr>
      <w:r>
        <w:rPr>
          <w:color w:val="0000FF"/>
          <w:lang w:val="en-US"/>
        </w:rPr>
        <w:t>Misión:</w:t>
      </w:r>
      <w:r>
        <w:rPr>
          <w:rFonts w:hint="eastAsia"/>
        </w:rPr>
        <w:t>Puede bailar en cualquier momento y en cualquier lugar, independientemente del país, la edad, la región o el tipo de baile.</w:t>
      </w:r>
    </w:p>
    <w:p>
      <w:pPr>
        <w:numPr>
          <w:numId w:val="0"/>
        </w:numPr>
        <w:ind w:left="-30" w:leftChars="0"/>
        <w:rPr>
          <w:color w:val="0000FF"/>
          <w:lang w:val="en-US"/>
        </w:rPr>
      </w:pPr>
      <w:r>
        <w:rPr>
          <w:color w:val="0000FF"/>
          <w:lang w:val="en-US"/>
        </w:rPr>
        <w:t>Visión:</w:t>
      </w:r>
      <w:r>
        <w:rPr>
          <w:rFonts w:hint="default" w:ascii="Arial" w:hAnsi="Arial" w:eastAsia="宋体" w:cs="Arial"/>
          <w:sz w:val="22"/>
          <w:szCs w:val="22"/>
        </w:rPr>
        <w:t>Deje que a más personas les guste bailar, comprender la cultura de la danza y realmente cambiarse a sí mismas a través de la danza.</w:t>
      </w:r>
    </w:p>
    <w:p>
      <w:pPr>
        <w:numPr>
          <w:numId w:val="0"/>
        </w:numPr>
        <w:ind w:left="-30" w:leftChars="0"/>
        <w:rPr>
          <w:color w:val="0000FF"/>
          <w:lang w:val="en-US"/>
        </w:rPr>
      </w:pPr>
      <w:r>
        <w:rPr>
          <w:color w:val="0000FF"/>
          <w:lang w:val="en-US"/>
        </w:rPr>
        <w:t>Valores:</w:t>
      </w:r>
      <w:r>
        <w:rPr>
          <w:rFonts w:hint="eastAsia"/>
        </w:rPr>
        <w:t>Para los individuos, esta tribu puede hacerse más feliz en el proceso de la danza; para la sociedad, esta tribu puede hacer que la atmósfera cultural general esté llena de energía positiva y armonía; para el país, esto Las tribus pueden contribuir a la eficiencia del trabajo de las personas y aumentar la cohesión y la fuerza centrípeta del país.</w:t>
      </w:r>
    </w:p>
    <w:p>
      <w:pPr>
        <w:jc w:val="center"/>
      </w:pPr>
      <w:r>
        <w:rPr>
          <w:sz w:val="22"/>
        </w:rPr>
        <mc:AlternateContent>
          <mc:Choice Requires="wps">
            <w:drawing>
              <wp:anchor distT="0" distB="0" distL="114300" distR="114300" simplePos="0" relativeHeight="251661312" behindDoc="0" locked="0" layoutInCell="1" allowOverlap="1">
                <wp:simplePos x="0" y="0"/>
                <wp:positionH relativeFrom="column">
                  <wp:posOffset>2981325</wp:posOffset>
                </wp:positionH>
                <wp:positionV relativeFrom="paragraph">
                  <wp:posOffset>3245485</wp:posOffset>
                </wp:positionV>
                <wp:extent cx="2928620" cy="1733550"/>
                <wp:effectExtent l="5080" t="4445" r="6985" b="8255"/>
                <wp:wrapNone/>
                <wp:docPr id="19" name="文本框 19"/>
                <wp:cNvGraphicFramePr/>
                <a:graphic xmlns:a="http://schemas.openxmlformats.org/drawingml/2006/main">
                  <a:graphicData uri="http://schemas.microsoft.com/office/word/2010/wordprocessingShape">
                    <wps:wsp>
                      <wps:cNvSpPr txBox="1"/>
                      <wps:spPr>
                        <a:xfrm>
                          <a:off x="3895725" y="4213225"/>
                          <a:ext cx="2928620" cy="1733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2"/>
                                <w:szCs w:val="22"/>
                              </w:rPr>
                            </w:pPr>
                            <w:r>
                              <w:rPr>
                                <w:rFonts w:hint="eastAsia"/>
                              </w:rPr>
                              <w:t>Para los individuos, esta tribu puede hacerse más feliz en el proceso de la danza; para la sociedad, esta tribu puede hacer que la atmósfera cultural general esté llena de energía positiva y armonía; para el país, esto Las tribus pueden contribuir a la eficiencia del trabajo de las personas y aumentar la cohesión y la fuerza centrípeta del país.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75pt;margin-top:255.55pt;height:136.5pt;width:230.6pt;z-index:251661312;mso-width-relative:page;mso-height-relative:page;" fillcolor="#FFFFFF [3201]" filled="t" stroked="t" coordsize="21600,21600" o:gfxdata="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M0IK+2QAAAAsBAAAPAAAAAAAA&#10;AAEAIAAAACIAAABkcnMvZG93bnJldi54bWxQSwECFAAUAAAACACHTuJAlLrZ2koCAAB4BAAADgAA&#10;AAAAAAABACAAAAAoAQAAZHJzL2Uyb0RvYy54bWxQSwUGAAAAAAYABgBZAQAA5AUAAAAA&#10;">
                <v:fill on="t" focussize="0,0"/>
                <v:stroke weight="0.5pt" color="#000000 [3204]" joinstyle="round"/>
                <v:imagedata o:title=""/>
                <o:lock v:ext="edit" aspectratio="f"/>
                <v:textbox>
                  <w:txbxContent>
                    <w:p>
                      <w:pPr>
                        <w:rPr>
                          <w:sz w:val="22"/>
                          <w:szCs w:val="22"/>
                        </w:rPr>
                      </w:pPr>
                      <w:r>
                        <w:rPr>
                          <w:rFonts w:hint="eastAsia"/>
                        </w:rPr>
                        <w:t>Para los individuos, esta tribu puede hacerse más feliz en el proceso de la danza; para la sociedad, esta tribu puede hacer que la atmósfera cultural general esté llena de energía positiva y armonía; para el país, esto Las tribus pueden contribuir a la eficiencia del trabajo de las personas y aumentar la cohesión y la fuerza centrípeta del país.</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876300</wp:posOffset>
                </wp:positionH>
                <wp:positionV relativeFrom="paragraph">
                  <wp:posOffset>902335</wp:posOffset>
                </wp:positionV>
                <wp:extent cx="3990975" cy="838200"/>
                <wp:effectExtent l="4445" t="4445" r="5080" b="14605"/>
                <wp:wrapNone/>
                <wp:docPr id="18" name="文本框 18"/>
                <wp:cNvGraphicFramePr/>
                <a:graphic xmlns:a="http://schemas.openxmlformats.org/drawingml/2006/main">
                  <a:graphicData uri="http://schemas.microsoft.com/office/word/2010/wordprocessingShape">
                    <wps:wsp>
                      <wps:cNvSpPr txBox="1"/>
                      <wps:spPr>
                        <a:xfrm>
                          <a:off x="1790700" y="1816735"/>
                          <a:ext cx="3990975" cy="838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22"/>
                                <w:szCs w:val="22"/>
                              </w:rPr>
                            </w:pPr>
                            <w:r>
                              <w:rPr>
                                <w:rFonts w:hint="default" w:ascii="Arial" w:hAnsi="Arial" w:eastAsia="宋体" w:cs="Arial"/>
                                <w:sz w:val="22"/>
                                <w:szCs w:val="22"/>
                              </w:rPr>
                              <w:t>Deje que a más personas les guste bailar, comprender la cultura de la danza y realmente cambiarse a sí mismas a través de la danza.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71.05pt;height:66pt;width:314.25pt;z-index:251660288;mso-width-relative:page;mso-height-relative:page;" fillcolor="#FFFFFF [3201]" filled="t" stroked="t" coordsize="21600,21600" o:gfxdata="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IcXo9gAAAALAQAADwAAAAAAAAABACAA&#10;AAAiAAAAZHJzL2Rvd25yZXYueG1sUEsBAhQAFAAAAAgAh07iQCKM82VGAgAAdwQAAA4AAAAAAAAA&#10;AQAgAAAAJwEAAGRycy9lMm9Eb2MueG1sUEsFBgAAAAAGAAYAWQEAAN8FAAAAAAAA&#10;">
                <v:fill on="t" focussize="0,0"/>
                <v:stroke weight="0.5pt" color="#000000 [3204]" joinstyle="round"/>
                <v:imagedata o:title=""/>
                <o:lock v:ext="edit" aspectratio="f"/>
                <v:textbox>
                  <w:txbxContent>
                    <w:p>
                      <w:pPr>
                        <w:rPr>
                          <w:rFonts w:hint="default" w:ascii="Arial" w:hAnsi="Arial" w:cs="Arial"/>
                          <w:sz w:val="22"/>
                          <w:szCs w:val="22"/>
                        </w:rPr>
                      </w:pPr>
                      <w:r>
                        <w:rPr>
                          <w:rFonts w:hint="default" w:ascii="Arial" w:hAnsi="Arial" w:eastAsia="宋体" w:cs="Arial"/>
                          <w:sz w:val="22"/>
                          <w:szCs w:val="22"/>
                        </w:rPr>
                        <w:t>Deje que a más personas les guste bailar, comprender la cultura de la danza y realmente cambiarse a sí mismas a través de la danza.</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819785</wp:posOffset>
                </wp:positionH>
                <wp:positionV relativeFrom="paragraph">
                  <wp:posOffset>3262630</wp:posOffset>
                </wp:positionV>
                <wp:extent cx="1913890" cy="1600200"/>
                <wp:effectExtent l="4445" t="5080" r="5715" b="13970"/>
                <wp:wrapNone/>
                <wp:docPr id="17" name="文本框 17"/>
                <wp:cNvGraphicFramePr/>
                <a:graphic xmlns:a="http://schemas.openxmlformats.org/drawingml/2006/main">
                  <a:graphicData uri="http://schemas.microsoft.com/office/word/2010/wordprocessingShape">
                    <wps:wsp>
                      <wps:cNvSpPr txBox="1"/>
                      <wps:spPr>
                        <a:xfrm>
                          <a:off x="1895475" y="4272280"/>
                          <a:ext cx="1913890"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2"/>
                                <w:szCs w:val="22"/>
                                <w:lang w:val="en-US" w:eastAsia="zh-CN"/>
                              </w:rPr>
                            </w:pPr>
                            <w:r>
                              <w:rPr>
                                <w:rFonts w:hint="eastAsia"/>
                              </w:rPr>
                              <w:t>Puede bailar en cualquier momento y en cualquier lugar, independientemente del país, la edad, la región o el tipo de baile.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5pt;margin-top:256.9pt;height:126pt;width:150.7pt;z-index:251659264;mso-width-relative:page;mso-height-relative:page;" fillcolor="#FFFFFF [3201]" filled="t" stroked="t" coordsize="21600,21600" o:gfxdata="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FiEgG2AAAAAsBAAAPAAAAAAAAAAEA&#10;IAAAACIAAABkcnMvZG93bnJldi54bWxQSwECFAAUAAAACACHTuJA0kDM7UgCAAB4BAAADgAAAAAA&#10;AAABACAAAAAnAQAAZHJzL2Uyb0RvYy54bWxQSwUGAAAAAAYABgBZAQAA4QUAAAAA&#10;">
                <v:fill on="t" focussize="0,0"/>
                <v:stroke weight="0.5pt" color="#000000 [3204]" joinstyle="round"/>
                <v:imagedata o:title=""/>
                <o:lock v:ext="edit" aspectratio="f"/>
                <v:textbox>
                  <w:txbxContent>
                    <w:p>
                      <w:pPr>
                        <w:rPr>
                          <w:rFonts w:hint="default" w:ascii="Arial" w:hAnsi="Arial" w:eastAsia="宋体" w:cs="Arial"/>
                          <w:sz w:val="22"/>
                          <w:szCs w:val="22"/>
                          <w:lang w:val="en-US" w:eastAsia="zh-CN"/>
                        </w:rPr>
                      </w:pPr>
                      <w:r>
                        <w:rPr>
                          <w:rFonts w:hint="eastAsia"/>
                        </w:rPr>
                        <w:t>Puede bailar en cualquier momento y en cualquier lugar, independientemente del país, la edad, la región o el tipo de baile.</w:t>
                      </w:r>
                    </w:p>
                  </w:txbxContent>
                </v:textbox>
              </v:shape>
            </w:pict>
          </mc:Fallback>
        </mc:AlternateContent>
      </w:r>
      <w:r>
        <w:rPr>
          <w:sz w:val="22"/>
        </w:rPr>
        <mc:AlternateContent>
          <mc:Choice Requires="wps">
            <w:drawing>
              <wp:anchor distT="0" distB="0" distL="114300" distR="114300" simplePos="0" relativeHeight="251658240" behindDoc="0" locked="0" layoutInCell="1" allowOverlap="1">
                <wp:simplePos x="0" y="0"/>
                <wp:positionH relativeFrom="column">
                  <wp:posOffset>1085850</wp:posOffset>
                </wp:positionH>
                <wp:positionV relativeFrom="paragraph">
                  <wp:posOffset>351790</wp:posOffset>
                </wp:positionV>
                <wp:extent cx="3257550" cy="314325"/>
                <wp:effectExtent l="4445" t="4445" r="14605" b="5080"/>
                <wp:wrapNone/>
                <wp:docPr id="16" name="文本框 16"/>
                <wp:cNvGraphicFramePr/>
                <a:graphic xmlns:a="http://schemas.openxmlformats.org/drawingml/2006/main">
                  <a:graphicData uri="http://schemas.microsoft.com/office/word/2010/wordprocessingShape">
                    <wps:wsp>
                      <wps:cNvSpPr txBox="1"/>
                      <wps:spPr>
                        <a:xfrm>
                          <a:off x="2000250" y="1266190"/>
                          <a:ext cx="32575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60" w:firstLineChars="300"/>
                              <w:rPr>
                                <w:rFonts w:hint="eastAsia" w:eastAsia="宋体"/>
                                <w:lang w:val="en-US" w:eastAsia="zh-CN"/>
                              </w:rPr>
                            </w:pPr>
                            <w:r>
                              <w:rPr>
                                <w:rFonts w:hint="eastAsia" w:eastAsia="宋体"/>
                                <w:lang w:val="en-US" w:eastAsia="zh-CN"/>
                              </w:rPr>
                              <w:t>SIGUE BAILANDO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27.7pt;height:24.75pt;width:256.5pt;z-index:251658240;mso-width-relative:page;mso-height-relative:page;" fillcolor="#FFFFFF [3201]" filled="t" stroked="t" coordsize="21600,21600" o:gfxdata="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GmnXWAAAACgEAAA8AAAAAAAAAAQAgAAAAIgAA&#10;AGRycy9kb3ducmV2LnhtbFBLAQIUABQAAAAIAIdO4kACpvBdQwIAAHcEAAAOAAAAAAAAAAEAIAAA&#10;ACUBAABkcnMvZTJvRG9jLnhtbFBLBQYAAAAABgAGAFkBAADaBQAAAAAA&#10;">
                <v:fill on="t" focussize="0,0"/>
                <v:stroke weight="0.5pt" color="#000000 [3204]" joinstyle="round"/>
                <v:imagedata o:title=""/>
                <o:lock v:ext="edit" aspectratio="f"/>
                <v:textbox>
                  <w:txbxContent>
                    <w:p>
                      <w:pPr>
                        <w:ind w:firstLine="660" w:firstLineChars="300"/>
                        <w:rPr>
                          <w:rFonts w:hint="eastAsia" w:eastAsia="宋体"/>
                          <w:lang w:val="en-US" w:eastAsia="zh-CN"/>
                        </w:rPr>
                      </w:pPr>
                      <w:r>
                        <w:rPr>
                          <w:rFonts w:hint="eastAsia" w:eastAsia="宋体"/>
                          <w:lang w:val="en-US" w:eastAsia="zh-CN"/>
                        </w:rPr>
                        <w:t>SIGUE BAILANDO</w:t>
                      </w:r>
                    </w:p>
                  </w:txbxContent>
                </v:textbox>
              </v:shape>
            </w:pict>
          </mc:Fallback>
        </mc:AlternateContent>
      </w:r>
      <w:r>
        <w:rPr>
          <w:rFonts w:hint="eastAsia" w:eastAsia="宋体"/>
          <w:lang w:val="en-US" w:eastAsia="zh-CN"/>
        </w:rPr>
        <w:t>+`[</w:t>
      </w:r>
      <w:r>
        <w:drawing>
          <wp:inline distT="114300" distB="114300" distL="114300" distR="114300">
            <wp:extent cx="5462270" cy="5965825"/>
            <wp:effectExtent l="0" t="0" r="5080" b="15875"/>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referRelativeResize="0"/>
                  </pic:nvPicPr>
                  <pic:blipFill>
                    <a:blip r:embed="rId21"/>
                    <a:srcRect/>
                    <a:stretch>
                      <a:fillRect/>
                    </a:stretch>
                  </pic:blipFill>
                  <pic:spPr>
                    <a:xfrm>
                      <a:off x="0" y="0"/>
                      <a:ext cx="5462588" cy="5966230"/>
                    </a:xfrm>
                    <a:prstGeom prst="rect">
                      <a:avLst/>
                    </a:prstGeom>
                  </pic:spPr>
                </pic:pic>
              </a:graphicData>
            </a:graphic>
          </wp:inline>
        </w:drawing>
      </w:r>
    </w:p>
    <w:sectPr>
      <w:headerReference r:id="rId4" w:type="first"/>
      <w:footerReference r:id="rId6" w:type="first"/>
      <w:headerReference r:id="rId3" w:type="default"/>
      <w:footerReference r:id="rId5" w:type="default"/>
      <w:pgSz w:w="11909" w:h="16834"/>
      <w:pgMar w:top="1440" w:right="1440" w:bottom="1440" w:left="1440" w:header="0" w:footer="720" w:gutter="0"/>
      <w:pgNumType w:start="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000" w:usb1="00000000" w:usb2="00000000" w:usb3="00000000" w:csb0="2000009F" w:csb1="00000000"/>
  </w:font>
  <w:font w:name="华文细黑">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00000000" w:usb1="00000000" w:usb2="00000016" w:usb3="00000000" w:csb0="00040001" w:csb1="00000000"/>
  </w:font>
  <w:font w:name="华文琥珀">
    <w:panose1 w:val="02010800040101010101"/>
    <w:charset w:val="86"/>
    <w:family w:val="auto"/>
    <w:pitch w:val="default"/>
    <w:sig w:usb0="00000000" w:usb1="00000000" w:usb2="00000000" w:usb3="00000000" w:csb0="00040000" w:csb1="00000000"/>
  </w:font>
  <w:font w:name="华文行楷">
    <w:panose1 w:val="02010800040101010101"/>
    <w:charset w:val="86"/>
    <w:family w:val="auto"/>
    <w:pitch w:val="default"/>
    <w:sig w:usb0="00000000" w:usb1="00000000" w:usb2="00000000" w:usb3="00000000" w:csb0="00040000" w:csb1="00000000"/>
  </w:font>
  <w:font w:name="幼圆">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00000000" w:usb1="00000000" w:usb2="00000016" w:usb3="00000000" w:csb0="0004001F" w:csb1="00000000"/>
  </w:font>
  <w:font w:name="新宋体">
    <w:panose1 w:val="02010609030101010101"/>
    <w:charset w:val="86"/>
    <w:family w:val="auto"/>
    <w:pitch w:val="default"/>
    <w:sig w:usb0="00000000" w:usb1="00000000" w:usb2="00000006" w:usb3="00000000" w:csb0="00040001" w:csb1="00000000"/>
  </w:font>
  <w:font w:name="方正兰亭超细黑简体">
    <w:panose1 w:val="02000000000000000000"/>
    <w:charset w:val="86"/>
    <w:family w:val="auto"/>
    <w:pitch w:val="default"/>
    <w:sig w:usb0="00000000" w:usb1="00000000" w:usb2="00000000" w:usb3="00000000" w:csb0="00040000" w:csb1="00000000"/>
  </w:font>
  <w:font w:name="方正姚体">
    <w:panose1 w:val="02010601030101010101"/>
    <w:charset w:val="86"/>
    <w:family w:val="auto"/>
    <w:pitch w:val="default"/>
    <w:sig w:usb0="00000000" w:usb1="00000000" w:usb2="00000000" w:usb3="00000000" w:csb0="00040000" w:csb1="00000000"/>
  </w:font>
  <w:font w:name="方正粗黑宋简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00000000" w:usb1="00000000" w:usb2="00000016" w:usb3="00000000" w:csb0="00040001" w:csb1="00000000"/>
  </w:font>
  <w:font w:name="等线">
    <w:panose1 w:val="02010600030101010101"/>
    <w:charset w:val="86"/>
    <w:family w:val="auto"/>
    <w:pitch w:val="default"/>
    <w:sig w:usb0="00000000" w:usb1="00000000" w:usb2="00000016" w:usb3="00000000" w:csb0="0004000F" w:csb1="00000000"/>
  </w:font>
  <w:font w:name="等线 Light">
    <w:panose1 w:val="02010600030101010101"/>
    <w:charset w:val="86"/>
    <w:family w:val="auto"/>
    <w:pitch w:val="default"/>
    <w:sig w:usb0="00000000" w:usb1="00000000" w:usb2="00000016" w:usb3="00000000" w:csb0="0004000F" w:csb1="00000000"/>
  </w:font>
  <w:font w:name="Malgun Gothic Semilight">
    <w:panose1 w:val="020B0502040204020203"/>
    <w:charset w:val="86"/>
    <w:family w:val="auto"/>
    <w:pitch w:val="default"/>
    <w:sig w:usb0="00000000" w:usb1="00000000" w:usb2="00000012" w:usb3="00000000" w:csb0="203E01BD" w:csb1="D7FF0000"/>
  </w:font>
  <w:font w:name="Microsoft JhengHei">
    <w:panose1 w:val="020B0604030504040204"/>
    <w:charset w:val="88"/>
    <w:family w:val="auto"/>
    <w:pitch w:val="default"/>
    <w:sig w:usb0="00000000" w:usb1="00000000" w:usb2="00000016" w:usb3="00000000" w:csb0="00100009" w:csb1="00000000"/>
  </w:font>
  <w:font w:name="Microsoft JhengHei UI">
    <w:panose1 w:val="020B0604030504040204"/>
    <w:charset w:val="88"/>
    <w:family w:val="auto"/>
    <w:pitch w:val="default"/>
    <w:sig w:usb0="00000000" w:usb1="00000000" w:usb2="00000016" w:usb3="00000000" w:csb0="00100009" w:csb1="00000000"/>
  </w:font>
  <w:font w:name="Microsoft YaHei UI">
    <w:panose1 w:val="020B0503020204020204"/>
    <w:charset w:val="86"/>
    <w:family w:val="auto"/>
    <w:pitch w:val="default"/>
    <w:sig w:usb0="00000000" w:usb1="00000000" w:usb2="00000016" w:usb3="00000000" w:csb0="0004001F" w:csb1="00000000"/>
  </w:font>
  <w:font w:name="MS Gothic">
    <w:panose1 w:val="020B0609070205080204"/>
    <w:charset w:val="80"/>
    <w:family w:val="auto"/>
    <w:pitch w:val="default"/>
    <w:sig w:usb0="00000000" w:usb1="00000000" w:usb2="08000012" w:usb3="00000000" w:csb0="4002009F" w:csb1="DFD70000"/>
  </w:font>
  <w:font w:name="MingLiU_HKSCS-ExtB">
    <w:panose1 w:val="02020500000000000000"/>
    <w:charset w:val="88"/>
    <w:family w:val="auto"/>
    <w:pitch w:val="default"/>
    <w:sig w:usb0="00000000" w:usb1="00000000" w:usb2="00000000" w:usb3="00000000" w:csb0="00100001" w:csb1="00000000"/>
  </w:font>
  <w:font w:name="PMingLiU-ExtB">
    <w:panose1 w:val="02020500000000000000"/>
    <w:charset w:val="88"/>
    <w:family w:val="auto"/>
    <w:pitch w:val="default"/>
    <w:sig w:usb0="00000000" w:usb1="00000000" w:usb2="00000000" w:usb3="00000000" w:csb0="00100001" w:csb1="00000000"/>
  </w:font>
  <w:font w:name="Yu Gothic Light">
    <w:panose1 w:val="020B0300000000000000"/>
    <w:charset w:val="80"/>
    <w:family w:val="auto"/>
    <w:pitch w:val="default"/>
    <w:sig w:usb0="00000000" w:usb1="00000000" w:usb2="00000016" w:usb3="00000000" w:csb0="2002009F" w:csb1="00000000"/>
  </w:font>
  <w:font w:name="Yu Gothic UI">
    <w:panose1 w:val="020B0500000000000000"/>
    <w:charset w:val="80"/>
    <w:family w:val="auto"/>
    <w:pitch w:val="default"/>
    <w:sig w:usb0="00000000" w:usb1="00000000" w:usb2="00000016" w:usb3="00000000" w:csb0="2002009F" w:csb1="00000000"/>
  </w:font>
  <w:font w:name="Algerian">
    <w:panose1 w:val="04020705040A02060702"/>
    <w:charset w:val="00"/>
    <w:family w:val="auto"/>
    <w:pitch w:val="default"/>
    <w:sig w:usb0="00000000" w:usb1="00000000" w:usb2="00000000" w:usb3="00000000" w:csb0="20000001" w:csb1="00000000"/>
  </w:font>
  <w:font w:name="Bahnschrift">
    <w:panose1 w:val="020B0502040204020203"/>
    <w:charset w:val="00"/>
    <w:family w:val="auto"/>
    <w:pitch w:val="default"/>
    <w:sig w:usb0="00000000" w:usb1="00000000" w:usb2="00000000" w:usb3="00000000" w:csb0="2000019F" w:csb1="00000000"/>
  </w:font>
  <w:font w:name="Yu Gothic UI Semibold">
    <w:panose1 w:val="020B0700000000000000"/>
    <w:charset w:val="80"/>
    <w:family w:val="auto"/>
    <w:pitch w:val="default"/>
    <w:sig w:usb0="00000000" w:usb1="00000000" w:usb2="00000016" w:usb3="00000000" w:csb0="2002009F" w:csb1="00000000"/>
  </w:font>
  <w:font w:name="Yu Gothic UI Semilight">
    <w:panose1 w:val="020B0400000000000000"/>
    <w:charset w:val="80"/>
    <w:family w:val="auto"/>
    <w:pitch w:val="default"/>
    <w:sig w:usb0="00000000" w:usb1="00000000" w:usb2="00000016" w:usb3="00000000" w:csb0="2002009F" w:csb1="00000000"/>
  </w:font>
  <w:font w:name="Agency FB">
    <w:panose1 w:val="020B0503020202020204"/>
    <w:charset w:val="00"/>
    <w:family w:val="auto"/>
    <w:pitch w:val="default"/>
    <w:sig w:usb0="00000000" w:usb1="00000000" w:usb2="00000000" w:usb3="00000000" w:csb0="20000001" w:csb1="00000000"/>
  </w:font>
  <w:font w:name="Yu Gothic Medium">
    <w:panose1 w:val="020B0500000000000000"/>
    <w:charset w:val="80"/>
    <w:family w:val="auto"/>
    <w:pitch w:val="default"/>
    <w:sig w:usb0="00000000" w:usb1="00000000" w:usb2="00000016" w:usb3="00000000" w:csb0="2002009F" w:csb1="00000000"/>
  </w:font>
  <w:font w:name="Yu Gothic UI Light">
    <w:panose1 w:val="020B0300000000000000"/>
    <w:charset w:val="80"/>
    <w:family w:val="auto"/>
    <w:pitch w:val="default"/>
    <w:sig w:usb0="00000000" w:usb1="00000000" w:usb2="00000016" w:usb3="00000000" w:csb0="2002009F" w:csb1="00000000"/>
  </w:font>
  <w:font w:name="华文楷体">
    <w:panose1 w:val="02010600040101010101"/>
    <w:charset w:val="86"/>
    <w:family w:val="auto"/>
    <w:pitch w:val="default"/>
    <w:sig w:usb0="00000000" w:usb1="00000000" w:usb2="00000000" w:usb3="00000000" w:csb0="0004009F" w:csb1="DFD70000"/>
  </w:font>
  <w:font w:name="华文隶书">
    <w:panose1 w:val="02010800040101010101"/>
    <w:charset w:val="86"/>
    <w:family w:val="auto"/>
    <w:pitch w:val="default"/>
    <w:sig w:usb0="00000000" w:usb1="00000000" w:usb2="00000000" w:usb3="00000000" w:csb0="00040000" w:csb1="00000000"/>
  </w:font>
  <w:font w:name="隶书">
    <w:panose1 w:val="02010509060101010101"/>
    <w:charset w:val="86"/>
    <w:family w:val="auto"/>
    <w:pitch w:val="default"/>
    <w:sig w:usb0="00000000" w:usb1="00000000" w:usb2="00000000" w:usb3="00000000" w:csb0="00040000" w:csb1="00000000"/>
  </w:font>
  <w:font w:name="Malgun Gothic">
    <w:panose1 w:val="020B0503020000020004"/>
    <w:charset w:val="81"/>
    <w:family w:val="auto"/>
    <w:pitch w:val="default"/>
    <w:sig w:usb0="00000000" w:usb1="00000000" w:usb2="00000012" w:usb3="00000000" w:csb0="00080001" w:csb1="00000000"/>
  </w:font>
  <w:font w:name="Microsoft JhengHei UI Light">
    <w:panose1 w:val="020B0304030504040204"/>
    <w:charset w:val="88"/>
    <w:family w:val="auto"/>
    <w:pitch w:val="default"/>
    <w:sig w:usb0="00000000" w:usb1="00000000" w:usb2="00000016" w:usb3="00000000" w:csb0="00100009" w:csb1="00000000"/>
  </w:font>
  <w:font w:name="Yu Gothic">
    <w:panose1 w:val="020B0400000000000000"/>
    <w:charset w:val="80"/>
    <w:family w:val="auto"/>
    <w:pitch w:val="default"/>
    <w:sig w:usb0="00000000" w:usb1="00000000" w:usb2="00000016" w:usb3="00000000" w:csb0="2002009F" w:csb1="00000000"/>
  </w:font>
  <w:font w:name="方正舒体">
    <w:panose1 w:val="02010601030101010101"/>
    <w:charset w:val="86"/>
    <w:family w:val="auto"/>
    <w:pitch w:val="default"/>
    <w:sig w:usb0="00000000" w:usb1="00000000" w:usb2="00000000" w:usb3="00000000" w:csb0="00040000" w:csb1="00000000"/>
  </w:font>
  <w:font w:name="MS UI Gothic">
    <w:panose1 w:val="020B0600070205080204"/>
    <w:charset w:val="80"/>
    <w:family w:val="auto"/>
    <w:pitch w:val="default"/>
    <w:sig w:usb0="00000000" w:usb1="00000000" w:usb2="08000012" w:usb3="00000000" w:csb0="4002009F" w:csb1="DFD70000"/>
  </w:font>
  <w:font w:name="Arial Black">
    <w:panose1 w:val="020B0A04020102020204"/>
    <w:charset w:val="00"/>
    <w:family w:val="auto"/>
    <w:pitch w:val="default"/>
    <w:sig w:usb0="00000000" w:usb1="00000000" w:usb2="00000000" w:usb3="00000000" w:csb0="6000009F" w:csb1="DFD70000"/>
  </w:font>
  <w:font w:name="Arial Narrow">
    <w:panose1 w:val="020B0606020202030204"/>
    <w:charset w:val="00"/>
    <w:family w:val="auto"/>
    <w:pitch w:val="default"/>
    <w:sig w:usb0="00000000" w:usb1="00000000" w:usb2="00000000" w:usb3="00000000" w:csb0="2000009F" w:csb1="DFD70000"/>
  </w:font>
  <w:font w:name="Bahnschrift Condensed">
    <w:panose1 w:val="020B0502040204020203"/>
    <w:charset w:val="00"/>
    <w:family w:val="auto"/>
    <w:pitch w:val="default"/>
    <w:sig w:usb0="00000000" w:usb1="00000000" w:usb2="00000000" w:usb3="00000000" w:csb0="2000019F" w:csb1="00000000"/>
  </w:font>
  <w:font w:name="Bahnschrift Light">
    <w:panose1 w:val="020B0502040204020203"/>
    <w:charset w:val="00"/>
    <w:family w:val="auto"/>
    <w:pitch w:val="default"/>
    <w:sig w:usb0="00000000" w:usb1="00000000" w:usb2="00000000" w:usb3="00000000" w:csb0="2000019F" w:csb1="00000000"/>
  </w:font>
  <w:font w:name="Bahnschrift Light Condensed">
    <w:panose1 w:val="020B0502040204020203"/>
    <w:charset w:val="00"/>
    <w:family w:val="auto"/>
    <w:pitch w:val="default"/>
    <w:sig w:usb0="00000000" w:usb1="00000000" w:usb2="00000000" w:usb3="00000000" w:csb0="2000019F" w:csb1="00000000"/>
  </w:font>
  <w:font w:name="Bahnschrift Light SemiCondensed">
    <w:panose1 w:val="020B0502040204020203"/>
    <w:charset w:val="00"/>
    <w:family w:val="auto"/>
    <w:pitch w:val="default"/>
    <w:sig w:usb0="00000000" w:usb1="00000000" w:usb2="00000000" w:usb3="00000000" w:csb0="2000019F" w:csb1="00000000"/>
  </w:font>
  <w:font w:name="Bahnschrift SemiBold Condensed">
    <w:panose1 w:val="020B0502040204020203"/>
    <w:charset w:val="00"/>
    <w:family w:val="auto"/>
    <w:pitch w:val="default"/>
    <w:sig w:usb0="00000000" w:usb1="00000000" w:usb2="00000000" w:usb3="00000000" w:csb0="2000019F" w:csb1="00000000"/>
  </w:font>
  <w:font w:name="Bahnschrift SemiBold SemiConden">
    <w:altName w:val="Bahnschrift"/>
    <w:panose1 w:val="00000000000000000000"/>
    <w:charset w:val="00"/>
    <w:family w:val="auto"/>
    <w:pitch w:val="default"/>
    <w:sig w:usb0="00000000" w:usb1="00000000" w:usb2="00000000" w:usb3="00000000" w:csb0="00000000" w:csb1="00000000"/>
  </w:font>
  <w:font w:name="Bahnschrift SemiBold">
    <w:panose1 w:val="020B0502040204020203"/>
    <w:charset w:val="00"/>
    <w:family w:val="auto"/>
    <w:pitch w:val="default"/>
    <w:sig w:usb0="00000000" w:usb1="00000000" w:usb2="00000000" w:usb3="00000000" w:csb0="2000019F" w:csb1="00000000"/>
  </w:font>
  <w:font w:name="Microsoft YaHei UI Light">
    <w:panose1 w:val="020B0502040204020203"/>
    <w:charset w:val="86"/>
    <w:family w:val="auto"/>
    <w:pitch w:val="default"/>
    <w:sig w:usb0="00000000" w:usb1="00000000" w:usb2="00000016" w:usb3="00000000" w:csb0="0004001F" w:csb1="00000000"/>
  </w:font>
  <w:font w:name="MingLiU-ExtB">
    <w:panose1 w:val="02020500000000000000"/>
    <w:charset w:val="88"/>
    <w:family w:val="auto"/>
    <w:pitch w:val="default"/>
    <w:sig w:usb0="00000000" w:usb1="00000000" w:usb2="00000000" w:usb3="00000000" w:csb0="00100001" w:csb1="00000000"/>
  </w:font>
  <w:font w:name="SimSun-ExtB">
    <w:panose1 w:val="02010609060101010101"/>
    <w:charset w:val="86"/>
    <w:family w:val="auto"/>
    <w:pitch w:val="default"/>
    <w:sig w:usb0="00000000" w:usb1="00000000" w:usb2="00000000" w:usb3="00000000" w:csb0="00040001" w:csb1="00000000"/>
  </w:font>
  <w:font w:name="Arial Rounded MT Bold">
    <w:panose1 w:val="020F0704030504030204"/>
    <w:charset w:val="00"/>
    <w:family w:val="auto"/>
    <w:pitch w:val="default"/>
    <w:sig w:usb0="00000000" w:usb1="00000000" w:usb2="00000000" w:usb3="00000000" w:csb0="20000001" w:csb1="00000000"/>
  </w:font>
  <w:font w:name="微软雅黑 Light">
    <w:panose1 w:val="020B0502040204020203"/>
    <w:charset w:val="86"/>
    <w:family w:val="auto"/>
    <w:pitch w:val="default"/>
    <w:sig w:usb0="00000000" w:usb1="00000000" w:usb2="00000016" w:usb3="00000000" w:csb0="0004001F" w:csb1="00000000"/>
  </w:font>
  <w:font w:name="Microsoft JhengHei Light">
    <w:panose1 w:val="020B0304030504040204"/>
    <w:charset w:val="88"/>
    <w:family w:val="auto"/>
    <w:pitch w:val="default"/>
    <w:sig w:usb0="00000000" w:usb1="00000000" w:usb2="00000016" w:usb3="00000000" w:csb0="00100009" w:csb1="00000000"/>
  </w:font>
  <w:font w:name="MS PGothic">
    <w:panose1 w:val="020B0600070205080204"/>
    <w:charset w:val="80"/>
    <w:family w:val="auto"/>
    <w:pitch w:val="default"/>
    <w:sig w:usb0="00000000" w:usb1="00000000"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16"/>
        <w:szCs w:val="16"/>
      </w:rPr>
    </w:pPr>
  </w:p>
  <w:tbl>
    <w:tblPr>
      <w:tblStyle w:val="26"/>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935"/>
      <w:gridCol w:w="4065"/>
    </w:tblGrid>
    <w:tr>
      <w:tblPrEx>
        <w:tblLayout w:type="fixed"/>
        <w:tblCellMar>
          <w:top w:w="100" w:type="dxa"/>
          <w:left w:w="100" w:type="dxa"/>
          <w:bottom w:w="100" w:type="dxa"/>
          <w:right w:w="100" w:type="dxa"/>
        </w:tblCellMar>
      </w:tblPrEx>
      <w:tc>
        <w:tcPr>
          <w:tcW w:w="4935" w:type="dxa"/>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Pr>
            <w:t>Jose-Luis Poza-Lujan (</w:t>
          </w:r>
          <w:r>
            <w:fldChar w:fldCharType="begin"/>
          </w:r>
          <w:r>
            <w:instrText xml:space="preserve"> HYPERLINK "http://www.jopolu.net" \h </w:instrText>
          </w:r>
          <w:r>
            <w:fldChar w:fldCharType="separate"/>
          </w:r>
          <w:r>
            <w:rPr>
              <w:b/>
              <w:color w:val="434343"/>
              <w:sz w:val="16"/>
              <w:szCs w:val="16"/>
              <w:u w:val="single"/>
            </w:rPr>
            <w:t>www.jopolu.net</w:t>
          </w:r>
          <w:r>
            <w:rPr>
              <w:b/>
              <w:color w:val="434343"/>
              <w:sz w:val="16"/>
              <w:szCs w:val="16"/>
              <w:u w:val="single"/>
            </w:rPr>
            <w:fldChar w:fldCharType="end"/>
          </w:r>
          <w:r>
            <w:rPr>
              <w:b/>
              <w:color w:val="434343"/>
              <w:sz w:val="16"/>
              <w:szCs w:val="16"/>
            </w:rPr>
            <w:t>)</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Pr>
            <w:t>Alberto Conejero (</w:t>
          </w:r>
          <w:r>
            <w:fldChar w:fldCharType="begin"/>
          </w:r>
          <w:r>
            <w:instrText xml:space="preserve"> HYPERLINK "http://www.albertoconejero.com" \h </w:instrText>
          </w:r>
          <w:r>
            <w:fldChar w:fldCharType="separate"/>
          </w:r>
          <w:r>
            <w:rPr>
              <w:b/>
              <w:color w:val="434343"/>
              <w:sz w:val="16"/>
              <w:szCs w:val="16"/>
              <w:u w:val="single"/>
            </w:rPr>
            <w:t>www.albertoconejero.com</w:t>
          </w:r>
          <w:r>
            <w:rPr>
              <w:b/>
              <w:color w:val="434343"/>
              <w:sz w:val="16"/>
              <w:szCs w:val="16"/>
              <w:u w:val="single"/>
            </w:rPr>
            <w:fldChar w:fldCharType="end"/>
          </w:r>
          <w:r>
            <w:rPr>
              <w:b/>
              <w:color w:val="434343"/>
              <w:sz w:val="16"/>
              <w:szCs w:val="16"/>
            </w:rPr>
            <w:t xml:space="preserve">) </w:t>
          </w:r>
        </w:p>
      </w:tc>
      <w:tc>
        <w:tcPr>
          <w:tcW w:w="4065" w:type="dxa"/>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sz w:val="20"/>
              <w:szCs w:val="20"/>
            </w:rPr>
          </w:pPr>
          <w:r>
            <w:rPr>
              <w:b/>
              <w:color w:val="434343"/>
              <w:sz w:val="20"/>
              <w:szCs w:val="20"/>
            </w:rPr>
            <w:t xml:space="preserve">Página </w:t>
          </w:r>
          <w:r>
            <w:rPr>
              <w:b/>
              <w:color w:val="434343"/>
              <w:sz w:val="20"/>
              <w:szCs w:val="20"/>
            </w:rPr>
            <w:fldChar w:fldCharType="begin"/>
          </w:r>
          <w:r>
            <w:rPr>
              <w:b/>
              <w:color w:val="434343"/>
              <w:sz w:val="20"/>
              <w:szCs w:val="20"/>
            </w:rPr>
            <w:instrText xml:space="preserve">PAGE</w:instrText>
          </w:r>
          <w:r>
            <w:rPr>
              <w:b/>
              <w:color w:val="434343"/>
              <w:sz w:val="20"/>
              <w:szCs w:val="20"/>
            </w:rPr>
            <w:fldChar w:fldCharType="separate"/>
          </w:r>
          <w:r>
            <w:rPr>
              <w:b/>
              <w:color w:val="434343"/>
              <w:sz w:val="20"/>
              <w:szCs w:val="20"/>
            </w:rPr>
            <w:fldChar w:fldCharType="end"/>
          </w:r>
          <w:r>
            <w:rPr>
              <w:b/>
              <w:color w:val="434343"/>
              <w:sz w:val="20"/>
              <w:szCs w:val="20"/>
            </w:rPr>
            <w:t xml:space="preserve"> de </w:t>
          </w:r>
          <w:r>
            <w:rPr>
              <w:b/>
              <w:color w:val="434343"/>
              <w:sz w:val="20"/>
              <w:szCs w:val="20"/>
            </w:rPr>
            <w:fldChar w:fldCharType="begin"/>
          </w:r>
          <w:r>
            <w:rPr>
              <w:b/>
              <w:color w:val="434343"/>
              <w:sz w:val="20"/>
              <w:szCs w:val="20"/>
            </w:rPr>
            <w:instrText xml:space="preserve">NUMPAGES</w:instrText>
          </w:r>
          <w:r>
            <w:rPr>
              <w:b/>
              <w:color w:val="434343"/>
              <w:sz w:val="20"/>
              <w:szCs w:val="20"/>
            </w:rPr>
            <w:fldChar w:fldCharType="separate"/>
          </w:r>
          <w:r>
            <w:rPr>
              <w:b/>
              <w:color w:val="434343"/>
              <w:sz w:val="20"/>
              <w:szCs w:val="20"/>
            </w:rPr>
            <w:fldChar w:fldCharType="end"/>
          </w:r>
        </w:p>
      </w:tc>
    </w:tr>
  </w:tbl>
  <w: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
  <w:tbl>
    <w:tblPr>
      <w:tblStyle w:val="25"/>
      <w:tblW w:w="9000" w:type="dxa"/>
      <w:tblInd w:w="0" w:type="dxa"/>
      <w:tblLayout w:type="fixed"/>
      <w:tblCellMar>
        <w:top w:w="100" w:type="dxa"/>
        <w:left w:w="100" w:type="dxa"/>
        <w:bottom w:w="100" w:type="dxa"/>
        <w:right w:w="100" w:type="dxa"/>
      </w:tblCellMar>
    </w:tblPr>
    <w:tblGrid>
      <w:gridCol w:w="5190"/>
      <w:gridCol w:w="3810"/>
    </w:tblGrid>
    <w:tr>
      <w:tblPrEx>
        <w:tblLayout w:type="fixed"/>
        <w:tblCellMar>
          <w:top w:w="100" w:type="dxa"/>
          <w:left w:w="100" w:type="dxa"/>
          <w:bottom w:w="100" w:type="dxa"/>
          <w:right w:w="100" w:type="dxa"/>
        </w:tblCellMar>
      </w:tblPrEx>
      <w:tc>
        <w:tcPr>
          <w:tcW w:w="5190" w:type="dxa"/>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drawing>
              <wp:inline distT="114300" distB="114300" distL="114300" distR="114300">
                <wp:extent cx="680720" cy="36258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1"/>
                        <a:srcRect/>
                        <a:stretch>
                          <a:fillRect/>
                        </a:stretch>
                      </pic:blipFill>
                      <pic:spPr>
                        <a:xfrm>
                          <a:off x="0" y="0"/>
                          <a:ext cx="681038" cy="362630"/>
                        </a:xfrm>
                        <a:prstGeom prst="rect">
                          <a:avLst/>
                        </a:prstGeom>
                      </pic:spPr>
                    </pic:pic>
                  </a:graphicData>
                </a:graphic>
              </wp:inline>
            </w:drawing>
          </w:r>
        </w:p>
      </w:tc>
      <w:tc>
        <w:tcPr>
          <w:tcW w:w="3810" w:type="dxa"/>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Pr>
            <w:t>Actividad:</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Pr>
            <w:t>La tribu (Seth Godin)</w:t>
          </w:r>
        </w:p>
      </w:tc>
    </w:tr>
  </w:tbl>
  <w:p>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47F3F"/>
    <w:multiLevelType w:val="multilevel"/>
    <w:tmpl w:val="5F847F3F"/>
    <w:lvl w:ilvl="0" w:tentative="0">
      <w:start w:val="1"/>
      <w:numFmt w:val="decimal"/>
      <w:lvlText w:val="%1."/>
      <w:lvlJc w:val="right"/>
      <w:pPr>
        <w:ind w:left="720" w:hanging="360"/>
      </w:pPr>
      <w:rPr>
        <w:u w:val="none"/>
      </w:rPr>
    </w:lvl>
    <w:lvl w:ilvl="1" w:tentative="0">
      <w:start w:val="1"/>
      <w:numFmt w:val="decimal"/>
      <w:lvlText w:val="%1.%2."/>
      <w:lvlJc w:val="right"/>
      <w:pPr>
        <w:ind w:left="1440" w:hanging="360"/>
      </w:pPr>
      <w:rPr>
        <w:u w:val="none"/>
      </w:rPr>
    </w:lvl>
    <w:lvl w:ilvl="2" w:tentative="0">
      <w:start w:val="1"/>
      <w:numFmt w:val="decimal"/>
      <w:lvlText w:val="%1.%2.%3."/>
      <w:lvlJc w:val="right"/>
      <w:pPr>
        <w:ind w:left="2160" w:hanging="360"/>
      </w:pPr>
      <w:rPr>
        <w:u w:val="none"/>
      </w:rPr>
    </w:lvl>
    <w:lvl w:ilvl="3" w:tentative="0">
      <w:start w:val="1"/>
      <w:numFmt w:val="decimal"/>
      <w:lvlText w:val="%1.%2.%3.%4."/>
      <w:lvlJc w:val="right"/>
      <w:pPr>
        <w:ind w:left="2880" w:hanging="360"/>
      </w:pPr>
      <w:rPr>
        <w:u w:val="none"/>
      </w:rPr>
    </w:lvl>
    <w:lvl w:ilvl="4" w:tentative="0">
      <w:start w:val="1"/>
      <w:numFmt w:val="decimal"/>
      <w:lvlText w:val="%1.%2.%3.%4.%5."/>
      <w:lvlJc w:val="right"/>
      <w:pPr>
        <w:ind w:left="3600" w:hanging="360"/>
      </w:pPr>
      <w:rPr>
        <w:u w:val="none"/>
      </w:rPr>
    </w:lvl>
    <w:lvl w:ilvl="5" w:tentative="0">
      <w:start w:val="1"/>
      <w:numFmt w:val="decimal"/>
      <w:lvlText w:val="%1.%2.%3.%4.%5.%6."/>
      <w:lvlJc w:val="right"/>
      <w:pPr>
        <w:ind w:left="4320" w:hanging="360"/>
      </w:pPr>
      <w:rPr>
        <w:u w:val="none"/>
      </w:rPr>
    </w:lvl>
    <w:lvl w:ilvl="6" w:tentative="0">
      <w:start w:val="1"/>
      <w:numFmt w:val="decimal"/>
      <w:lvlText w:val="%1.%2.%3.%4.%5.%6.%7."/>
      <w:lvlJc w:val="right"/>
      <w:pPr>
        <w:ind w:left="5040" w:hanging="360"/>
      </w:pPr>
      <w:rPr>
        <w:u w:val="none"/>
      </w:rPr>
    </w:lvl>
    <w:lvl w:ilvl="7" w:tentative="0">
      <w:start w:val="1"/>
      <w:numFmt w:val="decimal"/>
      <w:lvlText w:val="%1.%2.%3.%4.%5.%6.%7.%8."/>
      <w:lvlJc w:val="right"/>
      <w:pPr>
        <w:ind w:left="5760" w:hanging="360"/>
      </w:pPr>
      <w:rPr>
        <w:u w:val="none"/>
      </w:rPr>
    </w:lvl>
    <w:lvl w:ilvl="8" w:tentative="0">
      <w:start w:val="1"/>
      <w:numFmt w:val="decimal"/>
      <w:lvlText w:val="%1.%2.%3.%4.%5.%6.%7.%8.%9."/>
      <w:lvlJc w:val="right"/>
      <w:pPr>
        <w:ind w:left="6480" w:hanging="360"/>
      </w:pPr>
      <w:rPr>
        <w:u w:val="none"/>
      </w:rPr>
    </w:lvl>
  </w:abstractNum>
  <w:abstractNum w:abstractNumId="1">
    <w:nsid w:val="5F847F4A"/>
    <w:multiLevelType w:val="multilevel"/>
    <w:tmpl w:val="5F847F4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5F847F55"/>
    <w:multiLevelType w:val="multilevel"/>
    <w:tmpl w:val="5F847F5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ompat>
    <w:ulTrailSpace/>
    <w:doNotExpandShiftReturn/>
    <w:doNotBreakWrappedTables/>
    <w:doNotWrapTextWithPunct/>
    <w:doNotUseEastAsianBreakRules/>
    <w:useFELayout/>
    <w:doNotUseIndentAsNumberingTabStop/>
    <w:useAltKinsokuLineBreakRules/>
    <w:compatSetting w:name="compatibilityMode" w:uri="http://schemas.microsoft.com/office/word" w:val="15"/>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jc w:val="both"/>
    </w:pPr>
    <w:rPr>
      <w:rFonts w:ascii="Arial" w:hAnsi="Arial" w:eastAsia="Arial" w:cs="Arial"/>
      <w:sz w:val="22"/>
      <w:szCs w:val="22"/>
      <w:lang w:val="es"/>
    </w:rPr>
  </w:style>
  <w:style w:type="paragraph" w:styleId="2">
    <w:name w:val="heading 1"/>
    <w:basedOn w:val="1"/>
    <w:next w:val="1"/>
    <w:qFormat/>
    <w:uiPriority w:val="0"/>
    <w:pPr>
      <w:keepNext/>
      <w:keepLines/>
      <w:spacing w:before="200" w:after="0"/>
    </w:pPr>
    <w:rPr>
      <w:rFonts w:ascii="Trebuchet MS" w:hAnsi="Trebuchet MS" w:eastAsia="Trebuchet MS" w:cs="Trebuchet MS"/>
      <w:sz w:val="32"/>
      <w:szCs w:val="32"/>
    </w:rPr>
  </w:style>
  <w:style w:type="paragraph" w:styleId="3">
    <w:name w:val="heading 2"/>
    <w:basedOn w:val="1"/>
    <w:next w:val="1"/>
    <w:qFormat/>
    <w:uiPriority w:val="0"/>
    <w:pPr>
      <w:keepNext/>
      <w:keepLines/>
      <w:spacing w:before="200" w:after="0"/>
    </w:pPr>
    <w:rPr>
      <w:rFonts w:ascii="Trebuchet MS" w:hAnsi="Trebuchet MS" w:eastAsia="Trebuchet MS" w:cs="Trebuchet MS"/>
      <w:b/>
      <w:sz w:val="26"/>
      <w:szCs w:val="26"/>
    </w:rPr>
  </w:style>
  <w:style w:type="paragraph" w:styleId="4">
    <w:name w:val="heading 3"/>
    <w:basedOn w:val="1"/>
    <w:next w:val="1"/>
    <w:qFormat/>
    <w:uiPriority w:val="0"/>
    <w:pPr>
      <w:keepNext/>
      <w:keepLines/>
      <w:spacing w:before="160" w:after="0"/>
    </w:pPr>
    <w:rPr>
      <w:rFonts w:ascii="Trebuchet MS" w:hAnsi="Trebuchet MS" w:eastAsia="Trebuchet MS" w:cs="Trebuchet MS"/>
      <w:b/>
      <w:color w:val="666666"/>
      <w:sz w:val="24"/>
      <w:szCs w:val="24"/>
    </w:rPr>
  </w:style>
  <w:style w:type="paragraph" w:styleId="5">
    <w:name w:val="heading 4"/>
    <w:basedOn w:val="1"/>
    <w:next w:val="1"/>
    <w:qFormat/>
    <w:uiPriority w:val="0"/>
    <w:pPr>
      <w:keepNext/>
      <w:keepLines/>
      <w:spacing w:before="160" w:after="0"/>
    </w:pPr>
    <w:rPr>
      <w:rFonts w:ascii="Trebuchet MS" w:hAnsi="Trebuchet MS" w:eastAsia="Trebuchet MS" w:cs="Trebuchet MS"/>
      <w:color w:val="666666"/>
      <w:sz w:val="22"/>
      <w:szCs w:val="22"/>
      <w:u w:val="single"/>
    </w:rPr>
  </w:style>
  <w:style w:type="paragraph" w:styleId="6">
    <w:name w:val="heading 5"/>
    <w:basedOn w:val="1"/>
    <w:next w:val="1"/>
    <w:qFormat/>
    <w:uiPriority w:val="0"/>
    <w:pPr>
      <w:keepNext/>
      <w:keepLines/>
      <w:spacing w:before="160" w:after="0"/>
    </w:pPr>
    <w:rPr>
      <w:rFonts w:ascii="Trebuchet MS" w:hAnsi="Trebuchet MS" w:eastAsia="Trebuchet MS" w:cs="Trebuchet MS"/>
      <w:color w:val="666666"/>
      <w:sz w:val="22"/>
      <w:szCs w:val="22"/>
    </w:rPr>
  </w:style>
  <w:style w:type="paragraph" w:styleId="7">
    <w:name w:val="heading 6"/>
    <w:basedOn w:val="1"/>
    <w:next w:val="1"/>
    <w:qFormat/>
    <w:uiPriority w:val="0"/>
    <w:pPr>
      <w:keepNext/>
      <w:keepLines/>
      <w:spacing w:before="160" w:after="0"/>
    </w:pPr>
    <w:rPr>
      <w:rFonts w:ascii="Trebuchet MS" w:hAnsi="Trebuchet MS" w:eastAsia="Trebuchet MS" w:cs="Trebuchet MS"/>
      <w:i/>
      <w:color w:val="666666"/>
      <w:sz w:val="22"/>
      <w:szCs w:val="22"/>
    </w:rPr>
  </w:style>
  <w:style w:type="character" w:default="1" w:styleId="10">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8">
    <w:name w:val="Subtitle"/>
    <w:basedOn w:val="1"/>
    <w:next w:val="1"/>
    <w:qFormat/>
    <w:uiPriority w:val="0"/>
    <w:pPr>
      <w:keepNext/>
      <w:keepLines/>
      <w:spacing w:before="0" w:after="200"/>
    </w:pPr>
    <w:rPr>
      <w:rFonts w:ascii="Trebuchet MS" w:hAnsi="Trebuchet MS" w:eastAsia="Trebuchet MS" w:cs="Trebuchet MS"/>
      <w:i/>
      <w:color w:val="666666"/>
      <w:sz w:val="26"/>
      <w:szCs w:val="26"/>
    </w:rPr>
  </w:style>
  <w:style w:type="paragraph" w:styleId="9">
    <w:name w:val="Title"/>
    <w:basedOn w:val="1"/>
    <w:next w:val="1"/>
    <w:qFormat/>
    <w:uiPriority w:val="0"/>
    <w:pPr>
      <w:keepNext/>
      <w:keepLines/>
      <w:spacing w:before="0" w:after="0"/>
    </w:pPr>
    <w:rPr>
      <w:rFonts w:ascii="Trebuchet MS" w:hAnsi="Trebuchet MS" w:eastAsia="Trebuchet MS" w:cs="Trebuchet MS"/>
      <w:sz w:val="42"/>
      <w:szCs w:val="42"/>
    </w:rPr>
  </w:style>
  <w:style w:type="table" w:customStyle="1" w:styleId="12">
    <w:name w:val="Table Normal"/>
    <w:qFormat/>
    <w:uiPriority w:val="0"/>
  </w:style>
  <w:style w:type="table" w:customStyle="1" w:styleId="13">
    <w:name w:val="_Style 10"/>
    <w:basedOn w:val="12"/>
    <w:qFormat/>
    <w:uiPriority w:val="0"/>
    <w:tblPr>
      <w:tblLayout w:type="fixed"/>
      <w:tblCellMar>
        <w:top w:w="100" w:type="dxa"/>
        <w:left w:w="100" w:type="dxa"/>
        <w:bottom w:w="100" w:type="dxa"/>
        <w:right w:w="100" w:type="dxa"/>
      </w:tblCellMar>
    </w:tblPr>
  </w:style>
  <w:style w:type="table" w:customStyle="1" w:styleId="14">
    <w:name w:val="_Style 11"/>
    <w:basedOn w:val="12"/>
    <w:qFormat/>
    <w:uiPriority w:val="0"/>
    <w:tblPr>
      <w:tblLayout w:type="fixed"/>
      <w:tblCellMar>
        <w:top w:w="100" w:type="dxa"/>
        <w:left w:w="100" w:type="dxa"/>
        <w:bottom w:w="100" w:type="dxa"/>
        <w:right w:w="100" w:type="dxa"/>
      </w:tblCellMar>
    </w:tblPr>
  </w:style>
  <w:style w:type="table" w:customStyle="1" w:styleId="15">
    <w:name w:val="_Style 12"/>
    <w:basedOn w:val="12"/>
    <w:qFormat/>
    <w:uiPriority w:val="0"/>
    <w:tblPr>
      <w:tblLayout w:type="fixed"/>
      <w:tblCellMar>
        <w:top w:w="100" w:type="dxa"/>
        <w:left w:w="100" w:type="dxa"/>
        <w:bottom w:w="100" w:type="dxa"/>
        <w:right w:w="100" w:type="dxa"/>
      </w:tblCellMar>
    </w:tblPr>
  </w:style>
  <w:style w:type="table" w:customStyle="1" w:styleId="16">
    <w:name w:val="_Style 13"/>
    <w:basedOn w:val="12"/>
    <w:qFormat/>
    <w:uiPriority w:val="0"/>
    <w:tblPr>
      <w:tblLayout w:type="fixed"/>
      <w:tblCellMar>
        <w:top w:w="100" w:type="dxa"/>
        <w:left w:w="100" w:type="dxa"/>
        <w:bottom w:w="100" w:type="dxa"/>
        <w:right w:w="100" w:type="dxa"/>
      </w:tblCellMar>
    </w:tblPr>
  </w:style>
  <w:style w:type="table" w:customStyle="1" w:styleId="17">
    <w:name w:val="_Style 14"/>
    <w:basedOn w:val="12"/>
    <w:qFormat/>
    <w:uiPriority w:val="0"/>
    <w:tblPr>
      <w:tblLayout w:type="fixed"/>
      <w:tblCellMar>
        <w:top w:w="100" w:type="dxa"/>
        <w:left w:w="100" w:type="dxa"/>
        <w:bottom w:w="100" w:type="dxa"/>
        <w:right w:w="100" w:type="dxa"/>
      </w:tblCellMar>
    </w:tblPr>
  </w:style>
  <w:style w:type="table" w:customStyle="1" w:styleId="18">
    <w:name w:val="_Style 15"/>
    <w:basedOn w:val="12"/>
    <w:qFormat/>
    <w:uiPriority w:val="0"/>
    <w:tblPr>
      <w:tblLayout w:type="fixed"/>
      <w:tblCellMar>
        <w:top w:w="100" w:type="dxa"/>
        <w:left w:w="100" w:type="dxa"/>
        <w:bottom w:w="100" w:type="dxa"/>
        <w:right w:w="100" w:type="dxa"/>
      </w:tblCellMar>
    </w:tblPr>
  </w:style>
  <w:style w:type="table" w:customStyle="1" w:styleId="19">
    <w:name w:val="_Style 16"/>
    <w:basedOn w:val="12"/>
    <w:qFormat/>
    <w:uiPriority w:val="0"/>
    <w:tblPr>
      <w:tblLayout w:type="fixed"/>
      <w:tblCellMar>
        <w:top w:w="100" w:type="dxa"/>
        <w:left w:w="100" w:type="dxa"/>
        <w:bottom w:w="100" w:type="dxa"/>
        <w:right w:w="100" w:type="dxa"/>
      </w:tblCellMar>
    </w:tblPr>
  </w:style>
  <w:style w:type="table" w:customStyle="1" w:styleId="20">
    <w:name w:val="_Style 17"/>
    <w:basedOn w:val="12"/>
    <w:qFormat/>
    <w:uiPriority w:val="0"/>
    <w:tblPr>
      <w:tblLayout w:type="fixed"/>
      <w:tblCellMar>
        <w:top w:w="100" w:type="dxa"/>
        <w:left w:w="100" w:type="dxa"/>
        <w:bottom w:w="100" w:type="dxa"/>
        <w:right w:w="100" w:type="dxa"/>
      </w:tblCellMar>
    </w:tblPr>
  </w:style>
  <w:style w:type="table" w:customStyle="1" w:styleId="21">
    <w:name w:val="_Style 18"/>
    <w:basedOn w:val="12"/>
    <w:qFormat/>
    <w:uiPriority w:val="0"/>
    <w:tblPr>
      <w:tblLayout w:type="fixed"/>
      <w:tblCellMar>
        <w:top w:w="100" w:type="dxa"/>
        <w:left w:w="100" w:type="dxa"/>
        <w:bottom w:w="100" w:type="dxa"/>
        <w:right w:w="100" w:type="dxa"/>
      </w:tblCellMar>
    </w:tblPr>
  </w:style>
  <w:style w:type="table" w:customStyle="1" w:styleId="22">
    <w:name w:val="_Style 19"/>
    <w:basedOn w:val="12"/>
    <w:qFormat/>
    <w:uiPriority w:val="0"/>
    <w:tblPr>
      <w:tblLayout w:type="fixed"/>
      <w:tblCellMar>
        <w:top w:w="100" w:type="dxa"/>
        <w:left w:w="100" w:type="dxa"/>
        <w:bottom w:w="100" w:type="dxa"/>
        <w:right w:w="100" w:type="dxa"/>
      </w:tblCellMar>
    </w:tblPr>
  </w:style>
  <w:style w:type="table" w:customStyle="1" w:styleId="23">
    <w:name w:val="_Style 20"/>
    <w:basedOn w:val="12"/>
    <w:qFormat/>
    <w:uiPriority w:val="0"/>
    <w:tblPr>
      <w:tblLayout w:type="fixed"/>
      <w:tblCellMar>
        <w:top w:w="100" w:type="dxa"/>
        <w:left w:w="100" w:type="dxa"/>
        <w:bottom w:w="100" w:type="dxa"/>
        <w:right w:w="100" w:type="dxa"/>
      </w:tblCellMar>
    </w:tblPr>
  </w:style>
  <w:style w:type="table" w:customStyle="1" w:styleId="24">
    <w:name w:val="_Style 21"/>
    <w:basedOn w:val="12"/>
    <w:qFormat/>
    <w:uiPriority w:val="0"/>
    <w:tblPr>
      <w:tblLayout w:type="fixed"/>
      <w:tblCellMar>
        <w:top w:w="100" w:type="dxa"/>
        <w:left w:w="100" w:type="dxa"/>
        <w:bottom w:w="100" w:type="dxa"/>
        <w:right w:w="100" w:type="dxa"/>
      </w:tblCellMar>
    </w:tblPr>
  </w:style>
  <w:style w:type="table" w:customStyle="1" w:styleId="25">
    <w:name w:val="_Style 22"/>
    <w:basedOn w:val="12"/>
    <w:qFormat/>
    <w:uiPriority w:val="0"/>
    <w:tblPr>
      <w:tblLayout w:type="fixed"/>
      <w:tblCellMar>
        <w:top w:w="100" w:type="dxa"/>
        <w:left w:w="100" w:type="dxa"/>
        <w:bottom w:w="100" w:type="dxa"/>
        <w:right w:w="100" w:type="dxa"/>
      </w:tblCellMar>
    </w:tblPr>
  </w:style>
  <w:style w:type="table" w:customStyle="1" w:styleId="26">
    <w:name w:val="_Style 23"/>
    <w:basedOn w:val="12"/>
    <w:qFormat/>
    <w:uiPriority w:val="0"/>
    <w:tblPr>
      <w:tblLayout w:type="fixed"/>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2020-10-13T02:07:00Z</dcterms:created>
  <dc:creator>lenovo</dc:creator>
  <cp:lastModifiedBy>吴吴晓玉的iPad</cp:lastModifiedBy>
  <dcterms:modified xsi:type="dcterms:W3CDTF">2020-10-28T12:50:52Z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2052-11.0.0</vt:lpwstr>
  </property>
</Properties>
</file>